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9" w:lineRule="auto" w:before="140"/>
        <w:ind w:right="27" w:firstLine="0"/>
      </w:pPr>
      <w:r>
        <w:rPr/>
        <w:t>Título: </w:t>
      </w:r>
      <w:r>
        <w:rPr>
          <w:color w:val="00007F"/>
        </w:rPr>
        <w:t>La transferencia de competencias de la Justicia Nacional del Trabajo a la Ciudad Autónoma de Buenos Aires en el proyecto de "Ley de Modernización Laboral"</w:t>
      </w:r>
    </w:p>
    <w:p>
      <w:pPr>
        <w:pStyle w:val="BodyText"/>
        <w:spacing w:before="1"/>
        <w:ind w:right="0" w:firstLine="0"/>
      </w:pPr>
      <w:r>
        <w:rPr/>
        <w:t>Autor: </w:t>
      </w:r>
      <w:r>
        <w:rPr>
          <w:color w:val="00007F"/>
        </w:rPr>
        <w:t>Guisado, Héctor </w:t>
      </w:r>
      <w:r>
        <w:rPr>
          <w:color w:val="00007F"/>
          <w:spacing w:val="-5"/>
        </w:rPr>
        <w:t>C.</w:t>
      </w:r>
    </w:p>
    <w:p>
      <w:pPr>
        <w:pStyle w:val="BodyText"/>
        <w:spacing w:before="10"/>
        <w:ind w:right="0" w:firstLine="0"/>
      </w:pPr>
      <w:r>
        <w:rPr/>
        <w:t>Publicado </w:t>
      </w:r>
      <w:r>
        <w:rPr>
          <w:spacing w:val="-5"/>
        </w:rPr>
        <w:t>en:</w:t>
      </w:r>
    </w:p>
    <w:p>
      <w:pPr>
        <w:pStyle w:val="BodyText"/>
        <w:spacing w:before="10"/>
        <w:ind w:right="0" w:firstLine="0"/>
      </w:pPr>
      <w:r>
        <w:rPr/>
        <w:t>Cita:</w:t>
      </w:r>
      <w:r>
        <w:rPr>
          <w:spacing w:val="-2"/>
        </w:rPr>
        <w:t> </w:t>
      </w:r>
      <w:r>
        <w:rPr>
          <w:color w:val="00007F"/>
        </w:rPr>
        <w:t>TR</w:t>
      </w:r>
      <w:r>
        <w:rPr>
          <w:color w:val="00007F"/>
          <w:spacing w:val="-3"/>
        </w:rPr>
        <w:t> </w:t>
      </w:r>
      <w:r>
        <w:rPr>
          <w:color w:val="00007F"/>
        </w:rPr>
        <w:t>LALEY</w:t>
      </w:r>
      <w:r>
        <w:rPr>
          <w:color w:val="00007F"/>
          <w:spacing w:val="-2"/>
        </w:rPr>
        <w:t> AR/DOC/3309/2025</w:t>
      </w:r>
    </w:p>
    <w:p>
      <w:pPr>
        <w:pStyle w:val="BodyText"/>
        <w:spacing w:line="249" w:lineRule="auto" w:before="154"/>
        <w:ind w:firstLine="0"/>
      </w:pPr>
      <w:r>
        <w:rPr/>
        <w:t>Sumario: I. Introducción. — II. Carácter transitorio y disolución de la Justicia Nacional del Trabajo. — </w:t>
      </w:r>
      <w:r>
        <w:rPr/>
        <w:t>III. </w:t>
      </w:r>
      <w:r>
        <w:rPr>
          <w:spacing w:val="-2"/>
        </w:rPr>
        <w:t>Conclusiones.</w:t>
      </w:r>
    </w:p>
    <w:p>
      <w:pPr>
        <w:pStyle w:val="ListParagraph"/>
        <w:numPr>
          <w:ilvl w:val="0"/>
          <w:numId w:val="1"/>
        </w:numPr>
        <w:tabs>
          <w:tab w:pos="489" w:val="left" w:leader="none"/>
        </w:tabs>
        <w:spacing w:line="240" w:lineRule="auto" w:before="42" w:after="0"/>
        <w:ind w:left="489" w:right="0" w:hanging="166"/>
        <w:jc w:val="both"/>
        <w:rPr>
          <w:sz w:val="20"/>
        </w:rPr>
      </w:pPr>
      <w:r>
        <w:rPr>
          <w:spacing w:val="-2"/>
          <w:sz w:val="20"/>
        </w:rPr>
        <w:t>Introducción</w:t>
      </w:r>
    </w:p>
    <w:p>
      <w:pPr>
        <w:pStyle w:val="BodyText"/>
        <w:spacing w:line="249" w:lineRule="auto" w:before="90"/>
      </w:pPr>
      <w:r>
        <w:rPr/>
        <w:t>El proyecto de la autodenominada "Ley de Modernización Laboral" comprende en su Título III las "Modificaciones a la Ley de Organización y Procedimiento de la Justicia Nacional de Trabajo 18.345 (t.o. por Decreto 106/1998) y sus modificaciones".</w:t>
      </w:r>
    </w:p>
    <w:p>
      <w:pPr>
        <w:pStyle w:val="BodyText"/>
        <w:spacing w:line="249" w:lineRule="auto" w:before="82"/>
      </w:pPr>
      <w:r>
        <w:rPr/>
        <w:t>Este Título III consta de catorce artículos (del 78 al 91) agrupados en cuatro capítulos que llevan </w:t>
      </w:r>
      <w:r>
        <w:rPr/>
        <w:t>los siguientes rótulos: I. Sujetos del Proceso. Competencia; II. Actos Procesales y Contingencias Generales; III. Procedimiento de primera instancia; IV. Recursos y Procedimientos ante la Cámara.</w:t>
      </w:r>
    </w:p>
    <w:p>
      <w:pPr>
        <w:pStyle w:val="BodyText"/>
        <w:spacing w:line="249" w:lineRule="auto" w:before="83"/>
      </w:pPr>
      <w:r>
        <w:rPr/>
        <w:t>El más relevante de esos catorce artículos es el último (es decir, el 91), denominado "vigencia transitoria </w:t>
      </w:r>
      <w:r>
        <w:rPr/>
        <w:t>de la Justicia Nacional del Trabajo" que, curiosamente, no responde al epígrafe del capítulo al que pertenece, dado que (valga la perogrullada) no guarda relación alguna con los "recursos y procedimientos ante la Cámara". Ello pone en evidencia que se trató de un agregado de último momento, injertado entre gallos y medianoches, al punto tal que en ninguna de las numerosísimas crónicas periodísticas anteriores a la elevación del Proyecto al Congreso de la Nación se había dado cuenta de esta iniciativa.</w:t>
      </w:r>
    </w:p>
    <w:p>
      <w:pPr>
        <w:pStyle w:val="BodyText"/>
        <w:spacing w:before="85"/>
        <w:ind w:left="323" w:right="0" w:firstLine="0"/>
      </w:pPr>
      <w:r>
        <w:rPr/>
        <w:t>A</w:t>
      </w:r>
      <w:r>
        <w:rPr>
          <w:spacing w:val="-1"/>
        </w:rPr>
        <w:t> </w:t>
      </w:r>
      <w:r>
        <w:rPr/>
        <w:t>continuación, examinaremos esa</w:t>
      </w:r>
      <w:r>
        <w:rPr>
          <w:spacing w:val="-1"/>
        </w:rPr>
        <w:t> </w:t>
      </w:r>
      <w:r>
        <w:rPr/>
        <w:t>polémica </w:t>
      </w:r>
      <w:r>
        <w:rPr>
          <w:spacing w:val="-2"/>
        </w:rPr>
        <w:t>propuesta.</w:t>
      </w:r>
    </w:p>
    <w:p>
      <w:pPr>
        <w:pStyle w:val="ListParagraph"/>
        <w:numPr>
          <w:ilvl w:val="0"/>
          <w:numId w:val="1"/>
        </w:numPr>
        <w:tabs>
          <w:tab w:pos="556" w:val="left" w:leader="none"/>
        </w:tabs>
        <w:spacing w:line="240" w:lineRule="auto" w:before="90" w:after="0"/>
        <w:ind w:left="556" w:right="0" w:hanging="233"/>
        <w:jc w:val="both"/>
        <w:rPr>
          <w:sz w:val="20"/>
        </w:rPr>
      </w:pPr>
      <w:r>
        <w:rPr>
          <w:sz w:val="20"/>
        </w:rPr>
        <w:t>Carácter transitorio y disolución de la Justicia Nacional del </w:t>
      </w:r>
      <w:r>
        <w:rPr>
          <w:spacing w:val="-2"/>
          <w:sz w:val="20"/>
        </w:rPr>
        <w:t>Trabajo</w:t>
      </w:r>
    </w:p>
    <w:p>
      <w:pPr>
        <w:pStyle w:val="BodyText"/>
        <w:spacing w:line="249" w:lineRule="auto" w:before="90"/>
      </w:pPr>
      <w:r>
        <w:rPr/>
        <w:t>El mencionado art. 91, como dijimos, lleva como título "Vigencia transitoria de la Justicia Nacional del Trabajo" y establece lo siguiente:</w:t>
      </w:r>
    </w:p>
    <w:p>
      <w:pPr>
        <w:pStyle w:val="BodyText"/>
        <w:spacing w:line="249" w:lineRule="auto" w:before="81"/>
      </w:pPr>
      <w:r>
        <w:rPr/>
        <w:t>"La Justicia Nacional del Trabajo mantendrá su vigencia hasta tanto se instrumente el acuerdo de transferencia de competencias de la Justicia Nacional del Trabajo entre la Nación y el Gobierno de la Ciudad Autónoma de Buenos Aires.</w:t>
      </w:r>
    </w:p>
    <w:p>
      <w:pPr>
        <w:pStyle w:val="BodyText"/>
        <w:spacing w:line="249" w:lineRule="auto" w:before="83"/>
      </w:pPr>
      <w:r>
        <w:rPr/>
        <w:t>Una</w:t>
      </w:r>
      <w:r>
        <w:rPr/>
        <w:t> vez formalizado dicho acuerdo se dispondrán los actos necesarios para su progresiva </w:t>
      </w:r>
      <w:r>
        <w:rPr/>
        <w:t>disolución conforme las previsiones y plazos que surjan de dichos instrumentos".</w:t>
      </w:r>
    </w:p>
    <w:p>
      <w:pPr>
        <w:pStyle w:val="BodyText"/>
        <w:spacing w:line="249" w:lineRule="auto" w:before="82"/>
      </w:pPr>
      <w:r>
        <w:rPr/>
        <w:t>El concepto de transitoriedad de los tribunales nacionales de la Capital Federal había sido enunciado ya </w:t>
      </w:r>
      <w:r>
        <w:rPr/>
        <w:t>por la Corte Suprema en el voto conjunto de los jueces Lorenzetti y Maqueda en la causa "Corrales"</w:t>
      </w:r>
      <w:r>
        <w:rPr>
          <w:color w:val="383783"/>
          <w:sz w:val="16"/>
          <w:u w:val="single" w:color="383783"/>
        </w:rPr>
        <w:t>(1)</w:t>
      </w:r>
      <w:r>
        <w:rPr/>
        <w:t>.</w:t>
      </w:r>
    </w:p>
    <w:p>
      <w:pPr>
        <w:pStyle w:val="BodyText"/>
        <w:spacing w:line="249" w:lineRule="auto" w:before="81"/>
      </w:pPr>
      <w:r>
        <w:rPr/>
        <w:t>En ese voto se recordó que: a) La ley 24.588, que en su art. 8° dispone que "la justicia nacional y ordinaria de la Ciudad de Buenos Aires mantendrá su actual jurisdicción y competencia continuando a cargo del </w:t>
      </w:r>
      <w:r>
        <w:rPr/>
        <w:t>Poder Judicial de la Nación", es reglamentaria del art. 129 de la CN (Fallos: 329: 5438); b) En dicha ley el legislador tuvo el propósito de "generar, gradualmente, un traspaso ordenado de distintas competencias nacionales a la órbita</w:t>
      </w:r>
      <w:r>
        <w:rPr>
          <w:spacing w:val="-1"/>
        </w:rPr>
        <w:t> </w:t>
      </w:r>
      <w:r>
        <w:rPr/>
        <w:t>judicial</w:t>
      </w:r>
      <w:r>
        <w:rPr>
          <w:spacing w:val="-1"/>
        </w:rPr>
        <w:t> </w:t>
      </w:r>
      <w:r>
        <w:rPr/>
        <w:t>de</w:t>
      </w:r>
      <w:r>
        <w:rPr>
          <w:spacing w:val="-1"/>
        </w:rPr>
        <w:t> </w:t>
      </w:r>
      <w:r>
        <w:rPr/>
        <w:t>la</w:t>
      </w:r>
      <w:r>
        <w:rPr>
          <w:spacing w:val="-1"/>
        </w:rPr>
        <w:t> </w:t>
      </w:r>
      <w:r>
        <w:rPr/>
        <w:t>Ciudad</w:t>
      </w:r>
      <w:r>
        <w:rPr>
          <w:spacing w:val="-1"/>
        </w:rPr>
        <w:t> </w:t>
      </w:r>
      <w:r>
        <w:rPr/>
        <w:t>Autónoma</w:t>
      </w:r>
      <w:r>
        <w:rPr>
          <w:spacing w:val="-1"/>
        </w:rPr>
        <w:t> </w:t>
      </w:r>
      <w:r>
        <w:rPr/>
        <w:t>de</w:t>
      </w:r>
      <w:r>
        <w:rPr>
          <w:spacing w:val="-1"/>
        </w:rPr>
        <w:t> </w:t>
      </w:r>
      <w:r>
        <w:rPr/>
        <w:t>Buenos</w:t>
      </w:r>
      <w:r>
        <w:rPr>
          <w:spacing w:val="-1"/>
        </w:rPr>
        <w:t> </w:t>
      </w:r>
      <w:r>
        <w:rPr/>
        <w:t>Aires</w:t>
      </w:r>
      <w:r>
        <w:rPr>
          <w:spacing w:val="-1"/>
        </w:rPr>
        <w:t> </w:t>
      </w:r>
      <w:r>
        <w:rPr/>
        <w:t>sin</w:t>
      </w:r>
      <w:r>
        <w:rPr>
          <w:spacing w:val="-1"/>
        </w:rPr>
        <w:t> </w:t>
      </w:r>
      <w:r>
        <w:rPr/>
        <w:t>que,</w:t>
      </w:r>
      <w:r>
        <w:rPr>
          <w:spacing w:val="-1"/>
        </w:rPr>
        <w:t> </w:t>
      </w:r>
      <w:r>
        <w:rPr/>
        <w:t>por</w:t>
      </w:r>
      <w:r>
        <w:rPr>
          <w:spacing w:val="-1"/>
        </w:rPr>
        <w:t> </w:t>
      </w:r>
      <w:r>
        <w:rPr/>
        <w:t>esa</w:t>
      </w:r>
      <w:r>
        <w:rPr>
          <w:spacing w:val="-1"/>
        </w:rPr>
        <w:t> </w:t>
      </w:r>
      <w:r>
        <w:rPr/>
        <w:t>razón,</w:t>
      </w:r>
      <w:r>
        <w:rPr>
          <w:spacing w:val="-1"/>
        </w:rPr>
        <w:t> </w:t>
      </w:r>
      <w:r>
        <w:rPr/>
        <w:t>se</w:t>
      </w:r>
      <w:r>
        <w:rPr>
          <w:spacing w:val="-1"/>
        </w:rPr>
        <w:t> </w:t>
      </w:r>
      <w:r>
        <w:rPr/>
        <w:t>altere</w:t>
      </w:r>
      <w:r>
        <w:rPr>
          <w:spacing w:val="-1"/>
        </w:rPr>
        <w:t> </w:t>
      </w:r>
      <w:r>
        <w:rPr/>
        <w:t>la</w:t>
      </w:r>
      <w:r>
        <w:rPr>
          <w:spacing w:val="-1"/>
        </w:rPr>
        <w:t> </w:t>
      </w:r>
      <w:r>
        <w:rPr/>
        <w:t>prestación</w:t>
      </w:r>
      <w:r>
        <w:rPr>
          <w:spacing w:val="-1"/>
        </w:rPr>
        <w:t> </w:t>
      </w:r>
      <w:r>
        <w:rPr/>
        <w:t>correcta</w:t>
      </w:r>
      <w:r>
        <w:rPr>
          <w:spacing w:val="-1"/>
        </w:rPr>
        <w:t> </w:t>
      </w:r>
      <w:r>
        <w:rPr/>
        <w:t>de la administración de justicia tal como, posteriormente aconteció y quedó plasmado en los sucesivos convenios que sobrevinieron a aquella ley" y, en lo que refiere a la ampliación de las competencias ya transferidas, debe tener</w:t>
      </w:r>
      <w:r>
        <w:rPr>
          <w:spacing w:val="6"/>
        </w:rPr>
        <w:t> </w:t>
      </w:r>
      <w:r>
        <w:rPr/>
        <w:t>lugar</w:t>
      </w:r>
      <w:r>
        <w:rPr>
          <w:spacing w:val="7"/>
        </w:rPr>
        <w:t> </w:t>
      </w:r>
      <w:r>
        <w:rPr/>
        <w:t>"un</w:t>
      </w:r>
      <w:r>
        <w:rPr>
          <w:spacing w:val="7"/>
        </w:rPr>
        <w:t> </w:t>
      </w:r>
      <w:r>
        <w:rPr/>
        <w:t>nuevo</w:t>
      </w:r>
      <w:r>
        <w:rPr>
          <w:spacing w:val="7"/>
        </w:rPr>
        <w:t> </w:t>
      </w:r>
      <w:r>
        <w:rPr/>
        <w:t>convenio</w:t>
      </w:r>
      <w:r>
        <w:rPr>
          <w:spacing w:val="7"/>
        </w:rPr>
        <w:t> </w:t>
      </w:r>
      <w:r>
        <w:rPr/>
        <w:t>de</w:t>
      </w:r>
      <w:r>
        <w:rPr>
          <w:spacing w:val="6"/>
        </w:rPr>
        <w:t> </w:t>
      </w:r>
      <w:r>
        <w:rPr/>
        <w:t>partes</w:t>
      </w:r>
      <w:r>
        <w:rPr>
          <w:spacing w:val="7"/>
        </w:rPr>
        <w:t> </w:t>
      </w:r>
      <w:r>
        <w:rPr/>
        <w:t>y</w:t>
      </w:r>
      <w:r>
        <w:rPr>
          <w:spacing w:val="7"/>
        </w:rPr>
        <w:t> </w:t>
      </w:r>
      <w:r>
        <w:rPr/>
        <w:t>posterior</w:t>
      </w:r>
      <w:r>
        <w:rPr>
          <w:spacing w:val="7"/>
        </w:rPr>
        <w:t> </w:t>
      </w:r>
      <w:r>
        <w:rPr/>
        <w:t>ratificación</w:t>
      </w:r>
      <w:r>
        <w:rPr>
          <w:spacing w:val="7"/>
        </w:rPr>
        <w:t> </w:t>
      </w:r>
      <w:r>
        <w:rPr/>
        <w:t>legislativa,</w:t>
      </w:r>
      <w:r>
        <w:rPr>
          <w:spacing w:val="6"/>
        </w:rPr>
        <w:t> </w:t>
      </w:r>
      <w:r>
        <w:rPr/>
        <w:t>para</w:t>
      </w:r>
      <w:r>
        <w:rPr>
          <w:spacing w:val="7"/>
        </w:rPr>
        <w:t> </w:t>
      </w:r>
      <w:r>
        <w:rPr/>
        <w:t>integrar</w:t>
      </w:r>
      <w:r>
        <w:rPr>
          <w:spacing w:val="7"/>
        </w:rPr>
        <w:t> </w:t>
      </w:r>
      <w:r>
        <w:rPr/>
        <w:t>la</w:t>
      </w:r>
      <w:r>
        <w:rPr>
          <w:spacing w:val="7"/>
        </w:rPr>
        <w:t> </w:t>
      </w:r>
      <w:r>
        <w:rPr/>
        <w:t>jurisdicción</w:t>
      </w:r>
      <w:r>
        <w:rPr>
          <w:spacing w:val="7"/>
        </w:rPr>
        <w:t> </w:t>
      </w:r>
      <w:r>
        <w:rPr>
          <w:spacing w:val="-2"/>
        </w:rPr>
        <w:t>local";</w:t>
      </w:r>
    </w:p>
    <w:p>
      <w:pPr>
        <w:pStyle w:val="BodyText"/>
        <w:spacing w:line="249" w:lineRule="auto" w:before="7"/>
        <w:ind w:firstLine="0"/>
      </w:pPr>
      <w:r>
        <w:rPr/>
        <w:t>c) en atención a que la Constitución federal le reconoce a la Ciudad de Buenos Aires su autonomía no </w:t>
      </w:r>
      <w:r>
        <w:rPr/>
        <w:t>puede</w:t>
      </w:r>
      <w:r>
        <w:rPr>
          <w:spacing w:val="40"/>
        </w:rPr>
        <w:t> </w:t>
      </w:r>
      <w:r>
        <w:rPr/>
        <w:t>sino concluirse que el carácter nacional de los tribunales ordinarios de la Capital Federal es meramente transitorio y su continuidad se encuentra supeditada a que tengan lugar los convenios de transferencia de competencias antes aludidos.</w:t>
      </w:r>
    </w:p>
    <w:p>
      <w:pPr>
        <w:pStyle w:val="BodyText"/>
        <w:spacing w:line="249" w:lineRule="auto" w:before="83"/>
      </w:pPr>
      <w:r>
        <w:rPr/>
        <w:t>La afirmación de que el carácter nacional de estos tribunales es "meramente transitorio" fue reiterada </w:t>
      </w:r>
      <w:r>
        <w:rPr/>
        <w:t>luego en</w:t>
      </w:r>
      <w:r>
        <w:rPr>
          <w:spacing w:val="-1"/>
        </w:rPr>
        <w:t> </w:t>
      </w:r>
      <w:r>
        <w:rPr/>
        <w:t>las causas "Nisman"</w:t>
      </w:r>
      <w:r>
        <w:rPr>
          <w:color w:val="383783"/>
          <w:sz w:val="16"/>
          <w:u w:val="single" w:color="383783"/>
        </w:rPr>
        <w:t>(2)</w:t>
      </w:r>
      <w:r>
        <w:rPr/>
        <w:t>,</w:t>
      </w:r>
      <w:r>
        <w:rPr>
          <w:spacing w:val="-1"/>
        </w:rPr>
        <w:t> </w:t>
      </w:r>
      <w:r>
        <w:rPr/>
        <w:t>"José Marmol"</w:t>
      </w:r>
      <w:r>
        <w:rPr>
          <w:color w:val="383783"/>
          <w:sz w:val="16"/>
          <w:u w:val="single" w:color="383783"/>
        </w:rPr>
        <w:t>(3)</w:t>
      </w:r>
      <w:r>
        <w:rPr>
          <w:color w:val="383783"/>
          <w:spacing w:val="10"/>
          <w:sz w:val="16"/>
        </w:rPr>
        <w:t> </w:t>
      </w:r>
      <w:r>
        <w:rPr/>
        <w:t>y, más</w:t>
      </w:r>
      <w:r>
        <w:rPr>
          <w:spacing w:val="-1"/>
        </w:rPr>
        <w:t> </w:t>
      </w:r>
      <w:r>
        <w:rPr/>
        <w:t>recientemente, en el caso</w:t>
      </w:r>
      <w:r>
        <w:rPr>
          <w:spacing w:val="-1"/>
        </w:rPr>
        <w:t> </w:t>
      </w:r>
      <w:r>
        <w:rPr/>
        <w:t>"Ferrari c. Levinas"</w:t>
      </w:r>
      <w:r>
        <w:rPr>
          <w:color w:val="383783"/>
          <w:sz w:val="16"/>
          <w:u w:val="single" w:color="383783"/>
        </w:rPr>
        <w:t>(4)</w:t>
      </w:r>
      <w:r>
        <w:rPr/>
        <w:t>, entre</w:t>
      </w:r>
      <w:r>
        <w:rPr>
          <w:spacing w:val="-1"/>
        </w:rPr>
        <w:t> </w:t>
      </w:r>
      <w:r>
        <w:rPr>
          <w:spacing w:val="-2"/>
        </w:rPr>
        <w:t>otras.</w:t>
      </w:r>
    </w:p>
    <w:p>
      <w:pPr>
        <w:pStyle w:val="BodyText"/>
        <w:spacing w:line="249" w:lineRule="auto" w:before="82"/>
      </w:pPr>
      <w:r>
        <w:rPr/>
        <w:t>En este último fallo la Corte sostuvo, con cita del precedente "Bazán"</w:t>
      </w:r>
      <w:r>
        <w:rPr>
          <w:color w:val="383783"/>
          <w:sz w:val="16"/>
          <w:u w:val="single" w:color="383783"/>
        </w:rPr>
        <w:t>(5)</w:t>
      </w:r>
      <w:r>
        <w:rPr/>
        <w:t>, que "el retraso en la transferencia de la justicia nacional ordinaria al Poder Judicial de la Ciudad Autónoma de Buenos Aires es un claro </w:t>
      </w:r>
      <w:r>
        <w:rPr/>
        <w:t>supuesto de 'inmovilismo', que debe ser considerado un desajuste institucional grave, debiendo descartarse como argumento válido la dificultad de lograr acuerdos políticos". Aseveró que "la ciudad permanece con sus instituciones inconclusas, detentando (sic) un poder ejecutivo y una legislatura propios en pleno</w:t>
      </w:r>
      <w:r>
        <w:rPr>
          <w:spacing w:val="40"/>
        </w:rPr>
        <w:t> </w:t>
      </w:r>
      <w:r>
        <w:rPr/>
        <w:t>funcionamiento, pero sin un poder judicial completo". Sostuvo asimismo que "esta omisión legislativa lesiona las</w:t>
      </w:r>
      <w:r>
        <w:rPr>
          <w:spacing w:val="-3"/>
        </w:rPr>
        <w:t> </w:t>
      </w:r>
      <w:r>
        <w:rPr/>
        <w:t>facultades</w:t>
      </w:r>
      <w:r>
        <w:rPr>
          <w:spacing w:val="-3"/>
        </w:rPr>
        <w:t> </w:t>
      </w:r>
      <w:r>
        <w:rPr/>
        <w:t>de</w:t>
      </w:r>
      <w:r>
        <w:rPr>
          <w:spacing w:val="-3"/>
        </w:rPr>
        <w:t> </w:t>
      </w:r>
      <w:r>
        <w:rPr/>
        <w:t>autogobierno</w:t>
      </w:r>
      <w:r>
        <w:rPr>
          <w:spacing w:val="-3"/>
        </w:rPr>
        <w:t> </w:t>
      </w:r>
      <w:r>
        <w:rPr/>
        <w:t>de</w:t>
      </w:r>
      <w:r>
        <w:rPr>
          <w:spacing w:val="-3"/>
        </w:rPr>
        <w:t> </w:t>
      </w:r>
      <w:r>
        <w:rPr/>
        <w:t>un</w:t>
      </w:r>
      <w:r>
        <w:rPr>
          <w:spacing w:val="-3"/>
        </w:rPr>
        <w:t> </w:t>
      </w:r>
      <w:r>
        <w:rPr/>
        <w:t>Estado</w:t>
      </w:r>
      <w:r>
        <w:rPr>
          <w:spacing w:val="-3"/>
        </w:rPr>
        <w:t> </w:t>
      </w:r>
      <w:r>
        <w:rPr/>
        <w:t>local,</w:t>
      </w:r>
      <w:r>
        <w:rPr>
          <w:spacing w:val="-3"/>
        </w:rPr>
        <w:t> </w:t>
      </w:r>
      <w:r>
        <w:rPr/>
        <w:t>incumpliendo</w:t>
      </w:r>
      <w:r>
        <w:rPr>
          <w:spacing w:val="-3"/>
        </w:rPr>
        <w:t> </w:t>
      </w:r>
      <w:r>
        <w:rPr/>
        <w:t>la</w:t>
      </w:r>
      <w:r>
        <w:rPr>
          <w:spacing w:val="-3"/>
        </w:rPr>
        <w:t> </w:t>
      </w:r>
      <w:r>
        <w:rPr/>
        <w:t>Constitución</w:t>
      </w:r>
      <w:r>
        <w:rPr>
          <w:spacing w:val="-3"/>
        </w:rPr>
        <w:t> </w:t>
      </w:r>
      <w:r>
        <w:rPr/>
        <w:t>Nacional",</w:t>
      </w:r>
      <w:r>
        <w:rPr>
          <w:spacing w:val="-3"/>
        </w:rPr>
        <w:t> </w:t>
      </w:r>
      <w:r>
        <w:rPr/>
        <w:t>y</w:t>
      </w:r>
      <w:r>
        <w:rPr>
          <w:spacing w:val="-3"/>
        </w:rPr>
        <w:t> </w:t>
      </w:r>
      <w:r>
        <w:rPr/>
        <w:t>que</w:t>
      </w:r>
      <w:r>
        <w:rPr>
          <w:spacing w:val="-3"/>
        </w:rPr>
        <w:t> </w:t>
      </w:r>
      <w:r>
        <w:rPr/>
        <w:t>"los</w:t>
      </w:r>
      <w:r>
        <w:rPr>
          <w:spacing w:val="-3"/>
        </w:rPr>
        <w:t> </w:t>
      </w:r>
      <w:r>
        <w:rPr/>
        <w:t>gobiernos pueden</w:t>
      </w:r>
      <w:r>
        <w:rPr>
          <w:spacing w:val="5"/>
        </w:rPr>
        <w:t> </w:t>
      </w:r>
      <w:r>
        <w:rPr/>
        <w:t>acordar</w:t>
      </w:r>
      <w:r>
        <w:rPr>
          <w:spacing w:val="5"/>
        </w:rPr>
        <w:t> </w:t>
      </w:r>
      <w:r>
        <w:rPr/>
        <w:t>la</w:t>
      </w:r>
      <w:r>
        <w:rPr>
          <w:spacing w:val="5"/>
        </w:rPr>
        <w:t> </w:t>
      </w:r>
      <w:r>
        <w:rPr/>
        <w:t>transferencia</w:t>
      </w:r>
      <w:r>
        <w:rPr>
          <w:spacing w:val="5"/>
        </w:rPr>
        <w:t> </w:t>
      </w:r>
      <w:r>
        <w:rPr/>
        <w:t>de</w:t>
      </w:r>
      <w:r>
        <w:rPr>
          <w:spacing w:val="5"/>
        </w:rPr>
        <w:t> </w:t>
      </w:r>
      <w:r>
        <w:rPr/>
        <w:t>la</w:t>
      </w:r>
      <w:r>
        <w:rPr>
          <w:spacing w:val="5"/>
        </w:rPr>
        <w:t> </w:t>
      </w:r>
      <w:r>
        <w:rPr/>
        <w:t>justicia</w:t>
      </w:r>
      <w:r>
        <w:rPr>
          <w:spacing w:val="5"/>
        </w:rPr>
        <w:t> </w:t>
      </w:r>
      <w:r>
        <w:rPr/>
        <w:t>nacional</w:t>
      </w:r>
      <w:r>
        <w:rPr>
          <w:spacing w:val="5"/>
        </w:rPr>
        <w:t> </w:t>
      </w:r>
      <w:r>
        <w:rPr/>
        <w:t>ordinaria</w:t>
      </w:r>
      <w:r>
        <w:rPr>
          <w:spacing w:val="5"/>
        </w:rPr>
        <w:t> </w:t>
      </w:r>
      <w:r>
        <w:rPr/>
        <w:t>de</w:t>
      </w:r>
      <w:r>
        <w:rPr>
          <w:spacing w:val="5"/>
        </w:rPr>
        <w:t> </w:t>
      </w:r>
      <w:r>
        <w:rPr/>
        <w:t>acuerdo</w:t>
      </w:r>
      <w:r>
        <w:rPr>
          <w:spacing w:val="5"/>
        </w:rPr>
        <w:t> </w:t>
      </w:r>
      <w:r>
        <w:rPr/>
        <w:t>con</w:t>
      </w:r>
      <w:r>
        <w:rPr>
          <w:spacing w:val="5"/>
        </w:rPr>
        <w:t> </w:t>
      </w:r>
      <w:r>
        <w:rPr/>
        <w:t>las</w:t>
      </w:r>
      <w:r>
        <w:rPr>
          <w:spacing w:val="5"/>
        </w:rPr>
        <w:t> </w:t>
      </w:r>
      <w:r>
        <w:rPr/>
        <w:t>modalidades</w:t>
      </w:r>
      <w:r>
        <w:rPr>
          <w:spacing w:val="5"/>
        </w:rPr>
        <w:t> </w:t>
      </w:r>
      <w:r>
        <w:rPr/>
        <w:t>que</w:t>
      </w:r>
      <w:r>
        <w:rPr>
          <w:spacing w:val="5"/>
        </w:rPr>
        <w:t> </w:t>
      </w:r>
      <w:r>
        <w:rPr/>
        <w:t>prefieran</w:t>
      </w:r>
      <w:r>
        <w:rPr>
          <w:spacing w:val="5"/>
        </w:rPr>
        <w:t> </w:t>
      </w:r>
      <w:r>
        <w:rPr>
          <w:spacing w:val="-10"/>
        </w:rPr>
        <w:t>y</w:t>
      </w:r>
    </w:p>
    <w:p>
      <w:pPr>
        <w:pStyle w:val="BodyText"/>
        <w:spacing w:after="0" w:line="249" w:lineRule="auto"/>
        <w:sectPr>
          <w:headerReference w:type="default" r:id="rId5"/>
          <w:footerReference w:type="default" r:id="rId6"/>
          <w:type w:val="continuous"/>
          <w:pgSz w:w="11900" w:h="16840"/>
          <w:pgMar w:header="464" w:footer="824" w:top="1580" w:bottom="1020" w:left="1417" w:right="1417"/>
          <w:pgNumType w:start="1"/>
        </w:sectPr>
      </w:pPr>
    </w:p>
    <w:p>
      <w:pPr>
        <w:pStyle w:val="BodyText"/>
        <w:spacing w:line="249" w:lineRule="auto" w:before="40"/>
        <w:ind w:firstLine="0"/>
      </w:pPr>
      <w:r>
        <w:rPr/>
        <w:t>convengan,</w:t>
      </w:r>
      <w:r>
        <w:rPr>
          <w:spacing w:val="-2"/>
        </w:rPr>
        <w:t> </w:t>
      </w:r>
      <w:r>
        <w:rPr/>
        <w:t>siempre</w:t>
      </w:r>
      <w:r>
        <w:rPr>
          <w:spacing w:val="-2"/>
        </w:rPr>
        <w:t> </w:t>
      </w:r>
      <w:r>
        <w:rPr/>
        <w:t>que</w:t>
      </w:r>
      <w:r>
        <w:rPr>
          <w:spacing w:val="-2"/>
        </w:rPr>
        <w:t> </w:t>
      </w:r>
      <w:r>
        <w:rPr/>
        <w:t>el</w:t>
      </w:r>
      <w:r>
        <w:rPr>
          <w:spacing w:val="-2"/>
        </w:rPr>
        <w:t> </w:t>
      </w:r>
      <w:r>
        <w:rPr/>
        <w:t>modo</w:t>
      </w:r>
      <w:r>
        <w:rPr>
          <w:spacing w:val="-2"/>
        </w:rPr>
        <w:t> </w:t>
      </w:r>
      <w:r>
        <w:rPr/>
        <w:t>elegido</w:t>
      </w:r>
      <w:r>
        <w:rPr>
          <w:spacing w:val="-2"/>
        </w:rPr>
        <w:t> </w:t>
      </w:r>
      <w:r>
        <w:rPr/>
        <w:t>cumpla</w:t>
      </w:r>
      <w:r>
        <w:rPr>
          <w:spacing w:val="-2"/>
        </w:rPr>
        <w:t> </w:t>
      </w:r>
      <w:r>
        <w:rPr/>
        <w:t>de</w:t>
      </w:r>
      <w:r>
        <w:rPr>
          <w:spacing w:val="-2"/>
        </w:rPr>
        <w:t> </w:t>
      </w:r>
      <w:r>
        <w:rPr/>
        <w:t>manera</w:t>
      </w:r>
      <w:r>
        <w:rPr>
          <w:spacing w:val="-2"/>
        </w:rPr>
        <w:t> </w:t>
      </w:r>
      <w:r>
        <w:rPr/>
        <w:t>apropiada</w:t>
      </w:r>
      <w:r>
        <w:rPr>
          <w:spacing w:val="-2"/>
        </w:rPr>
        <w:t> </w:t>
      </w:r>
      <w:r>
        <w:rPr/>
        <w:t>con</w:t>
      </w:r>
      <w:r>
        <w:rPr>
          <w:spacing w:val="-2"/>
        </w:rPr>
        <w:t> </w:t>
      </w:r>
      <w:r>
        <w:rPr/>
        <w:t>el</w:t>
      </w:r>
      <w:r>
        <w:rPr>
          <w:spacing w:val="-2"/>
        </w:rPr>
        <w:t> </w:t>
      </w:r>
      <w:r>
        <w:rPr/>
        <w:t>mandato</w:t>
      </w:r>
      <w:r>
        <w:rPr>
          <w:spacing w:val="-2"/>
        </w:rPr>
        <w:t> </w:t>
      </w:r>
      <w:r>
        <w:rPr/>
        <w:t>de</w:t>
      </w:r>
      <w:r>
        <w:rPr>
          <w:spacing w:val="-2"/>
        </w:rPr>
        <w:t> </w:t>
      </w:r>
      <w:r>
        <w:rPr/>
        <w:t>hacer</w:t>
      </w:r>
      <w:r>
        <w:rPr>
          <w:spacing w:val="-2"/>
        </w:rPr>
        <w:t> </w:t>
      </w:r>
      <w:r>
        <w:rPr/>
        <w:t>establecido</w:t>
      </w:r>
      <w:r>
        <w:rPr>
          <w:spacing w:val="-2"/>
        </w:rPr>
        <w:t> </w:t>
      </w:r>
      <w:r>
        <w:rPr/>
        <w:t>en</w:t>
      </w:r>
      <w:r>
        <w:rPr>
          <w:spacing w:val="-2"/>
        </w:rPr>
        <w:t> </w:t>
      </w:r>
      <w:r>
        <w:rPr/>
        <w:t>la Constitución Nacional".</w:t>
      </w:r>
    </w:p>
    <w:p>
      <w:pPr>
        <w:pStyle w:val="BodyText"/>
        <w:spacing w:line="249" w:lineRule="auto" w:before="81"/>
      </w:pPr>
      <w:r>
        <w:rPr/>
        <w:t>El 15 de enero 2025, muy pocos días después del fallo "Ferrari c. Levinas", se promulgó y publicó la ley local 6789 que, en lo sustancial, aprobó el Código Procesal para la Justicia del Trabajo de la Ciudad </w:t>
      </w:r>
      <w:r>
        <w:rPr/>
        <w:t>Autónoma de Buenos Aires y modificó algunas normas de las Leyes Orgánicas del Poder Judicial y del Ministerio Público de esa Ciudad relativas a la composición, competencia y puesta en funcionamiento de ese fuero.</w:t>
      </w:r>
    </w:p>
    <w:p>
      <w:pPr>
        <w:pStyle w:val="BodyText"/>
        <w:spacing w:line="249" w:lineRule="auto"/>
      </w:pPr>
      <w:r>
        <w:rPr/>
        <w:t>Algunos meses después, el 8 de abril de 2025, se publicó en el Boletín Oficial la Resolución 179/2025 </w:t>
      </w:r>
      <w:r>
        <w:rPr/>
        <w:t>del Ministerio</w:t>
      </w:r>
      <w:r>
        <w:rPr>
          <w:spacing w:val="-1"/>
        </w:rPr>
        <w:t> </w:t>
      </w:r>
      <w:r>
        <w:rPr/>
        <w:t>de</w:t>
      </w:r>
      <w:r>
        <w:rPr>
          <w:spacing w:val="-1"/>
        </w:rPr>
        <w:t> </w:t>
      </w:r>
      <w:r>
        <w:rPr/>
        <w:t>Justicia</w:t>
      </w:r>
      <w:r>
        <w:rPr>
          <w:spacing w:val="-1"/>
        </w:rPr>
        <w:t> </w:t>
      </w:r>
      <w:r>
        <w:rPr/>
        <w:t>de</w:t>
      </w:r>
      <w:r>
        <w:rPr>
          <w:spacing w:val="-1"/>
        </w:rPr>
        <w:t> </w:t>
      </w:r>
      <w:r>
        <w:rPr/>
        <w:t>la</w:t>
      </w:r>
      <w:r>
        <w:rPr>
          <w:spacing w:val="-1"/>
        </w:rPr>
        <w:t> </w:t>
      </w:r>
      <w:r>
        <w:rPr/>
        <w:t>Nación</w:t>
      </w:r>
      <w:r>
        <w:rPr>
          <w:spacing w:val="-1"/>
        </w:rPr>
        <w:t> </w:t>
      </w:r>
      <w:r>
        <w:rPr/>
        <w:t>que</w:t>
      </w:r>
      <w:r>
        <w:rPr>
          <w:spacing w:val="-1"/>
        </w:rPr>
        <w:t> </w:t>
      </w:r>
      <w:r>
        <w:rPr/>
        <w:t>creó,</w:t>
      </w:r>
      <w:r>
        <w:rPr>
          <w:spacing w:val="-1"/>
        </w:rPr>
        <w:t> </w:t>
      </w:r>
      <w:r>
        <w:rPr/>
        <w:t>en</w:t>
      </w:r>
      <w:r>
        <w:rPr>
          <w:spacing w:val="-1"/>
        </w:rPr>
        <w:t> </w:t>
      </w:r>
      <w:r>
        <w:rPr/>
        <w:t>el</w:t>
      </w:r>
      <w:r>
        <w:rPr>
          <w:spacing w:val="-1"/>
        </w:rPr>
        <w:t> </w:t>
      </w:r>
      <w:r>
        <w:rPr/>
        <w:t>ámbito</w:t>
      </w:r>
      <w:r>
        <w:rPr>
          <w:spacing w:val="-1"/>
        </w:rPr>
        <w:t> </w:t>
      </w:r>
      <w:r>
        <w:rPr/>
        <w:t>de</w:t>
      </w:r>
      <w:r>
        <w:rPr>
          <w:spacing w:val="-1"/>
        </w:rPr>
        <w:t> </w:t>
      </w:r>
      <w:r>
        <w:rPr/>
        <w:t>esa</w:t>
      </w:r>
      <w:r>
        <w:rPr>
          <w:spacing w:val="-1"/>
        </w:rPr>
        <w:t> </w:t>
      </w:r>
      <w:r>
        <w:rPr/>
        <w:t>cartera,</w:t>
      </w:r>
      <w:r>
        <w:rPr>
          <w:spacing w:val="-1"/>
        </w:rPr>
        <w:t> </w:t>
      </w:r>
      <w:r>
        <w:rPr/>
        <w:t>"una</w:t>
      </w:r>
      <w:r>
        <w:rPr>
          <w:spacing w:val="-1"/>
        </w:rPr>
        <w:t> </w:t>
      </w:r>
      <w:r>
        <w:rPr/>
        <w:t>Comisión</w:t>
      </w:r>
      <w:r>
        <w:rPr>
          <w:spacing w:val="-1"/>
        </w:rPr>
        <w:t> </w:t>
      </w:r>
      <w:r>
        <w:rPr/>
        <w:t>que</w:t>
      </w:r>
      <w:r>
        <w:rPr>
          <w:spacing w:val="-1"/>
        </w:rPr>
        <w:t> </w:t>
      </w:r>
      <w:r>
        <w:rPr/>
        <w:t>tendrá</w:t>
      </w:r>
      <w:r>
        <w:rPr>
          <w:spacing w:val="-1"/>
        </w:rPr>
        <w:t> </w:t>
      </w:r>
      <w:r>
        <w:rPr/>
        <w:t>a</w:t>
      </w:r>
      <w:r>
        <w:rPr>
          <w:spacing w:val="-1"/>
        </w:rPr>
        <w:t> </w:t>
      </w:r>
      <w:r>
        <w:rPr/>
        <w:t>su</w:t>
      </w:r>
      <w:r>
        <w:rPr>
          <w:spacing w:val="-1"/>
        </w:rPr>
        <w:t> </w:t>
      </w:r>
      <w:r>
        <w:rPr/>
        <w:t>cargo</w:t>
      </w:r>
      <w:r>
        <w:rPr>
          <w:spacing w:val="-1"/>
        </w:rPr>
        <w:t> </w:t>
      </w:r>
      <w:r>
        <w:rPr/>
        <w:t>el estudio y análisis de la transferencia de la justicia nacional ordinaria a jurisdicción de la Ciudad Autónoma de Buenos Aires" (art. 1°). Nótese que, si bien se alude inicialmente a la "transferencia de la justicia...", luego, en los incs. "a" y "b" del art. 5° se habla de "transferencia de competencias", lo que no es lo mismo, ya que la transferencia no tiene por qué abarcar la totalidad de las materias que actualmente abarca la Justicia Nacional</w:t>
      </w:r>
      <w:r>
        <w:rPr>
          <w:spacing w:val="40"/>
        </w:rPr>
        <w:t> </w:t>
      </w:r>
      <w:r>
        <w:rPr/>
        <w:t>del Trabajo, sino que podría, hipotéticamente, abarcar solamente algunas competencias </w:t>
      </w:r>
      <w:r>
        <w:rPr>
          <w:color w:val="383783"/>
          <w:sz w:val="16"/>
          <w:u w:val="single" w:color="383783"/>
        </w:rPr>
        <w:t>(6)</w:t>
      </w:r>
      <w:r>
        <w:rPr/>
        <w:t>, particularmente aquellas en las que la propia Ciudad se ha autolimitado.</w:t>
      </w:r>
    </w:p>
    <w:p>
      <w:pPr>
        <w:pStyle w:val="BodyText"/>
        <w:spacing w:line="249" w:lineRule="auto" w:before="86"/>
      </w:pPr>
      <w:r>
        <w:rPr/>
        <w:t>Así ocurre con la competencia territorial, pues el Código Procesal Laboral de la Ciudad la circunscribe, básicamente, a las causas en que el lugar de trabajo, el lugar de celebración del contrato o el domicilio del trabajador se encuentren en la Ciudad de Buenos Aires (art. 8° del Anexo A de la ley 6790) </w:t>
      </w:r>
      <w:r>
        <w:rPr>
          <w:color w:val="383783"/>
          <w:sz w:val="16"/>
          <w:u w:val="single" w:color="383783"/>
        </w:rPr>
        <w:t>(7)</w:t>
      </w:r>
      <w:r>
        <w:rPr/>
        <w:t>. Esta enumeración deja afuera muchas causas que actualmente tramitan ante la Justicia Nacional del Trabajo, como son aquellas en que el trabajador, en ejercicio de la "triple opción" que contempla el art. 24 de la ley 18.345 </w:t>
      </w:r>
      <w:r>
        <w:rPr>
          <w:color w:val="383783"/>
          <w:sz w:val="16"/>
          <w:u w:val="single" w:color="383783"/>
        </w:rPr>
        <w:t>(8)</w:t>
      </w:r>
      <w:r>
        <w:rPr>
          <w:color w:val="383783"/>
          <w:spacing w:val="40"/>
          <w:sz w:val="16"/>
        </w:rPr>
        <w:t> </w:t>
      </w:r>
      <w:r>
        <w:rPr/>
        <w:t>escoge demandar en ese fuero a los empleadores domiciliados en la Capital Federal.</w:t>
      </w:r>
    </w:p>
    <w:p>
      <w:pPr>
        <w:pStyle w:val="BodyText"/>
        <w:spacing w:line="249" w:lineRule="auto" w:before="85"/>
      </w:pPr>
      <w:r>
        <w:rPr/>
        <w:t>Dado</w:t>
      </w:r>
      <w:r>
        <w:rPr/>
        <w:t> que muchas sociedades, aunque tengan sus establecimientos en distintos lugares del país, </w:t>
      </w:r>
      <w:r>
        <w:rPr/>
        <w:t>se</w:t>
      </w:r>
      <w:r>
        <w:rPr>
          <w:spacing w:val="40"/>
        </w:rPr>
        <w:t> </w:t>
      </w:r>
      <w:r>
        <w:rPr/>
        <w:t>encuentran registradas en la Ciudad de Buenos Aires, un gran número de trabajadores que viven, trabajan y fueron contratados en el interior del país prefieren litigar ante la Justicia Nacional del Trabajo. No se advierte entonces ningún óbice para que este fuero conserve su competencia en las causas en que el único punto de conexión con la Capital Federal sea el domicilio del empleador demandado.</w:t>
      </w:r>
    </w:p>
    <w:p>
      <w:pPr>
        <w:pStyle w:val="BodyText"/>
        <w:spacing w:line="249" w:lineRule="auto"/>
      </w:pPr>
      <w:r>
        <w:rPr/>
        <w:t>Con respecto a la competencia material, la Ciudad también se ha autolimitado, ya que, tanto en el art. 4° del Cód. Procesal como en el art. 39 de la Ley Orgánica del Poder Judicial se circunscribe la aptitud jurisdiccional debido a la materia a los "conflictos individuales de derecho del trabajo" y "causas entre trabajadores y empleadores relativas a un contrato de trabajo...". Estas descripciones dejan afuera los conflictos sindicales, intersindicales e intrasindicales, ya que estos no son "individuales" ni tampoco enfrentan a un trabajador con </w:t>
      </w:r>
      <w:r>
        <w:rPr/>
        <w:t>un </w:t>
      </w:r>
      <w:r>
        <w:rPr>
          <w:spacing w:val="-2"/>
        </w:rPr>
        <w:t>empleador.</w:t>
      </w:r>
    </w:p>
    <w:p>
      <w:pPr>
        <w:pStyle w:val="BodyText"/>
        <w:spacing w:line="249" w:lineRule="auto" w:before="85"/>
      </w:pPr>
      <w:r>
        <w:rPr/>
        <w:t>Estos conflictos de carácter sindical corresponden actualmente a la competencia de la Justicia Nacional </w:t>
      </w:r>
      <w:r>
        <w:rPr/>
        <w:t>del Trabajo. Así, el art. 21 de la ley 18.345 incluye entre los "casos especiales de competencia" a "las causas que versen sobre el gobierno y la administración de las asociaciones profesionales y las que se susciten entre ellas y sus asociados en su condición de tales" (inc. ch) y a "los recursos cuyo conocimiento se atribuye a los jueces nacionales de primera instancia del trabajo o a la Cámara Nacional de Apelaciones del Trabajo" (inc. "f").</w:t>
      </w:r>
    </w:p>
    <w:p>
      <w:pPr>
        <w:pStyle w:val="BodyText"/>
        <w:spacing w:line="249" w:lineRule="auto"/>
      </w:pPr>
      <w:r>
        <w:rPr/>
        <w:t>La Ley de Asociaciones Sindicales (LAS) 23.551 establece, precisamente, que la resolución que decida </w:t>
      </w:r>
      <w:r>
        <w:rPr/>
        <w:t>la intervención de una asociación sindical "será recurrible ante la Cámara Nacional de Apelaciones del Trabajo" (art. 36). Asimismo, dispone que "la resolución de encuadramiento emane de la autoridad administrativa del trabajo o de la vía asociacional, será directamente recurrible ante la Cámara Nacional de Apelaciones del Trabajo" (art. 59).</w:t>
      </w:r>
    </w:p>
    <w:p>
      <w:pPr>
        <w:pStyle w:val="BodyText"/>
        <w:spacing w:line="249" w:lineRule="auto"/>
      </w:pPr>
      <w:r>
        <w:rPr/>
        <w:t>Asimismo, el art. 62 de la LAS prevé que "Será competencia exclusiva de la Cámara Nacional de Apelaciones del Trabajo conocer los siguientes casos: a) Las acciones que promueva la autoridad administrativa del</w:t>
      </w:r>
      <w:r>
        <w:rPr>
          <w:spacing w:val="-2"/>
        </w:rPr>
        <w:t> </w:t>
      </w:r>
      <w:r>
        <w:rPr/>
        <w:t>trabajo;</w:t>
      </w:r>
      <w:r>
        <w:rPr>
          <w:spacing w:val="-2"/>
        </w:rPr>
        <w:t> </w:t>
      </w:r>
      <w:r>
        <w:rPr/>
        <w:t>b)</w:t>
      </w:r>
      <w:r>
        <w:rPr>
          <w:spacing w:val="-2"/>
        </w:rPr>
        <w:t> </w:t>
      </w:r>
      <w:r>
        <w:rPr/>
        <w:t>Los</w:t>
      </w:r>
      <w:r>
        <w:rPr>
          <w:spacing w:val="-2"/>
        </w:rPr>
        <w:t> </w:t>
      </w:r>
      <w:r>
        <w:rPr/>
        <w:t>recursos</w:t>
      </w:r>
      <w:r>
        <w:rPr>
          <w:spacing w:val="-2"/>
        </w:rPr>
        <w:t> </w:t>
      </w:r>
      <w:r>
        <w:rPr/>
        <w:t>contra</w:t>
      </w:r>
      <w:r>
        <w:rPr>
          <w:spacing w:val="-2"/>
        </w:rPr>
        <w:t> </w:t>
      </w:r>
      <w:r>
        <w:rPr/>
        <w:t>resoluciones</w:t>
      </w:r>
      <w:r>
        <w:rPr>
          <w:spacing w:val="-2"/>
        </w:rPr>
        <w:t> </w:t>
      </w:r>
      <w:r>
        <w:rPr/>
        <w:t>administrativas</w:t>
      </w:r>
      <w:r>
        <w:rPr>
          <w:spacing w:val="-2"/>
        </w:rPr>
        <w:t> </w:t>
      </w:r>
      <w:r>
        <w:rPr/>
        <w:t>definitivas</w:t>
      </w:r>
      <w:r>
        <w:rPr>
          <w:spacing w:val="-2"/>
        </w:rPr>
        <w:t> </w:t>
      </w:r>
      <w:r>
        <w:rPr/>
        <w:t>que</w:t>
      </w:r>
      <w:r>
        <w:rPr>
          <w:spacing w:val="-2"/>
        </w:rPr>
        <w:t> </w:t>
      </w:r>
      <w:r>
        <w:rPr/>
        <w:t>decidan</w:t>
      </w:r>
      <w:r>
        <w:rPr>
          <w:spacing w:val="-2"/>
        </w:rPr>
        <w:t> </w:t>
      </w:r>
      <w:r>
        <w:rPr/>
        <w:t>sobre</w:t>
      </w:r>
      <w:r>
        <w:rPr>
          <w:spacing w:val="-2"/>
        </w:rPr>
        <w:t> </w:t>
      </w:r>
      <w:r>
        <w:rPr/>
        <w:t>el</w:t>
      </w:r>
      <w:r>
        <w:rPr>
          <w:spacing w:val="-2"/>
        </w:rPr>
        <w:t> </w:t>
      </w:r>
      <w:r>
        <w:rPr/>
        <w:t>otorgamiento</w:t>
      </w:r>
      <w:r>
        <w:rPr>
          <w:spacing w:val="-2"/>
        </w:rPr>
        <w:t> </w:t>
      </w:r>
      <w:r>
        <w:rPr/>
        <w:t>de personería gremial, encuadramiento sindical u otros actos administrativos de igual carácter, una vez agotada la instancia administrativa; c) La demanda por denegatoria tácita de una personería gremial; d) La demanda por denegatoria tácita de una inscripción; e) Las acciones de encuadramiento sindical que se promuevan por haber vencido el plazo establecido para que se pronuncie la autoridad administrativa, sin que ésta lo hubiera hecho; f) Los recursos previstos en el art. 36 de esta ley".</w:t>
      </w:r>
    </w:p>
    <w:p>
      <w:pPr>
        <w:pStyle w:val="BodyText"/>
        <w:spacing w:line="249" w:lineRule="auto" w:before="87"/>
      </w:pPr>
      <w:r>
        <w:rPr/>
        <w:t>En todos estos casos, la atribución de competencia a la Cámara Nacional de Apelaciones del Trabajo </w:t>
      </w:r>
      <w:r>
        <w:rPr/>
        <w:t>se explica porque la Autoridad de aplicación de la ley 23.551 es el Ministerio de Trabajo y Seguridad Social (actualmente: la Secretaría de Trabajo del Ministerio de Capital Humano) de la Nación, cuyas decisiones, obviamente, no son susceptibles de revisión por parte de un tribunal local.</w:t>
      </w:r>
    </w:p>
    <w:p>
      <w:pPr>
        <w:pStyle w:val="BodyText"/>
        <w:spacing w:line="249" w:lineRule="auto" w:before="83"/>
      </w:pPr>
      <w:r>
        <w:rPr/>
        <w:t>Cabe agregar que los conflictos electorales intrasindicales llegaban tradicionalmente a conocimiento de la Cámara</w:t>
      </w:r>
      <w:r>
        <w:rPr>
          <w:spacing w:val="12"/>
        </w:rPr>
        <w:t> </w:t>
      </w:r>
      <w:r>
        <w:rPr/>
        <w:t>por</w:t>
      </w:r>
      <w:r>
        <w:rPr>
          <w:spacing w:val="12"/>
        </w:rPr>
        <w:t> </w:t>
      </w:r>
      <w:r>
        <w:rPr/>
        <w:t>vía</w:t>
      </w:r>
      <w:r>
        <w:rPr>
          <w:spacing w:val="12"/>
        </w:rPr>
        <w:t> </w:t>
      </w:r>
      <w:r>
        <w:rPr/>
        <w:t>del</w:t>
      </w:r>
      <w:r>
        <w:rPr>
          <w:spacing w:val="12"/>
        </w:rPr>
        <w:t> </w:t>
      </w:r>
      <w:r>
        <w:rPr/>
        <w:t>recurso</w:t>
      </w:r>
      <w:r>
        <w:rPr>
          <w:spacing w:val="12"/>
        </w:rPr>
        <w:t> </w:t>
      </w:r>
      <w:r>
        <w:rPr/>
        <w:t>del</w:t>
      </w:r>
      <w:r>
        <w:rPr>
          <w:spacing w:val="12"/>
        </w:rPr>
        <w:t> </w:t>
      </w:r>
      <w:r>
        <w:rPr/>
        <w:t>art.</w:t>
      </w:r>
      <w:r>
        <w:rPr>
          <w:spacing w:val="12"/>
        </w:rPr>
        <w:t> </w:t>
      </w:r>
      <w:r>
        <w:rPr/>
        <w:t>62</w:t>
      </w:r>
      <w:r>
        <w:rPr>
          <w:spacing w:val="12"/>
        </w:rPr>
        <w:t> </w:t>
      </w:r>
      <w:r>
        <w:rPr/>
        <w:t>de</w:t>
      </w:r>
      <w:r>
        <w:rPr>
          <w:spacing w:val="12"/>
        </w:rPr>
        <w:t> </w:t>
      </w:r>
      <w:r>
        <w:rPr/>
        <w:t>la</w:t>
      </w:r>
      <w:r>
        <w:rPr>
          <w:spacing w:val="12"/>
        </w:rPr>
        <w:t> </w:t>
      </w:r>
      <w:r>
        <w:rPr/>
        <w:t>LAS,</w:t>
      </w:r>
      <w:r>
        <w:rPr>
          <w:spacing w:val="12"/>
        </w:rPr>
        <w:t> </w:t>
      </w:r>
      <w:r>
        <w:rPr/>
        <w:t>una</w:t>
      </w:r>
      <w:r>
        <w:rPr>
          <w:spacing w:val="12"/>
        </w:rPr>
        <w:t> </w:t>
      </w:r>
      <w:r>
        <w:rPr/>
        <w:t>vez</w:t>
      </w:r>
      <w:r>
        <w:rPr>
          <w:spacing w:val="12"/>
        </w:rPr>
        <w:t> </w:t>
      </w:r>
      <w:r>
        <w:rPr/>
        <w:t>agotada</w:t>
      </w:r>
      <w:r>
        <w:rPr>
          <w:spacing w:val="12"/>
        </w:rPr>
        <w:t> </w:t>
      </w:r>
      <w:r>
        <w:rPr/>
        <w:t>la</w:t>
      </w:r>
      <w:r>
        <w:rPr>
          <w:spacing w:val="12"/>
        </w:rPr>
        <w:t> </w:t>
      </w:r>
      <w:r>
        <w:rPr/>
        <w:t>instancia</w:t>
      </w:r>
      <w:r>
        <w:rPr>
          <w:spacing w:val="12"/>
        </w:rPr>
        <w:t> </w:t>
      </w:r>
      <w:r>
        <w:rPr/>
        <w:t>administrativa.</w:t>
      </w:r>
      <w:r>
        <w:rPr>
          <w:spacing w:val="12"/>
        </w:rPr>
        <w:t> </w:t>
      </w:r>
      <w:r>
        <w:rPr/>
        <w:t>Sin</w:t>
      </w:r>
      <w:r>
        <w:rPr>
          <w:spacing w:val="12"/>
        </w:rPr>
        <w:t> </w:t>
      </w:r>
      <w:r>
        <w:rPr/>
        <w:t>embargo,</w:t>
      </w:r>
      <w:r>
        <w:rPr>
          <w:spacing w:val="12"/>
        </w:rPr>
        <w:t> </w:t>
      </w:r>
      <w:r>
        <w:rPr>
          <w:spacing w:val="-5"/>
        </w:rPr>
        <w:t>el</w:t>
      </w:r>
    </w:p>
    <w:p>
      <w:pPr>
        <w:pStyle w:val="BodyText"/>
        <w:spacing w:after="0" w:line="249" w:lineRule="auto"/>
        <w:sectPr>
          <w:pgSz w:w="11900" w:h="16840"/>
          <w:pgMar w:header="464" w:footer="824" w:top="1580" w:bottom="1020" w:left="1417" w:right="1417"/>
        </w:sectPr>
      </w:pPr>
    </w:p>
    <w:p>
      <w:pPr>
        <w:pStyle w:val="BodyText"/>
        <w:spacing w:line="249" w:lineRule="auto" w:before="80"/>
        <w:ind w:firstLine="0"/>
      </w:pPr>
      <w:r>
        <w:rPr/>
        <w:t>decreto 342/2025 (del 20 de mayo) suprimió casi todas las facultades que venía ejerciendo la Autoridad </w:t>
      </w:r>
      <w:r>
        <w:rPr/>
        <w:t>de Aplicación en materia de elecciones sindicales, por lo que, a partir de ese momento, la Cámara Nacional de Apelaciones del Trabajo se ha visto obligada a intervenir en forma directa en un número importante y creciente de causas electorales de gran complejidad y trascendencia.</w:t>
      </w:r>
    </w:p>
    <w:p>
      <w:pPr>
        <w:pStyle w:val="BodyText"/>
        <w:spacing w:line="249" w:lineRule="auto" w:before="83"/>
      </w:pPr>
      <w:r>
        <w:rPr/>
        <w:t>Hay muchos otros casos en que la Justicia Nacional del Trabajo ejerce actualmente una competencia </w:t>
      </w:r>
      <w:r>
        <w:rPr/>
        <w:t>federal debido a las personas y que, consecuentemente, escapan al conocimiento de los tribunales locales.</w:t>
      </w:r>
    </w:p>
    <w:p>
      <w:pPr>
        <w:pStyle w:val="BodyText"/>
        <w:spacing w:line="249" w:lineRule="auto" w:before="82"/>
      </w:pPr>
      <w:r>
        <w:rPr/>
        <w:t>Así encontramos, en primer término, las causas en las que el Estado nacional (lato sensu) sea parte. El </w:t>
      </w:r>
      <w:r>
        <w:rPr/>
        <w:t>art.</w:t>
      </w:r>
      <w:r>
        <w:rPr>
          <w:spacing w:val="40"/>
        </w:rPr>
        <w:t> </w:t>
      </w:r>
      <w:r>
        <w:rPr/>
        <w:t>20 de la ley 18.345 atribuye competencia a la Justicia Nacional del Trabajo para entender en causas fundadas en normas laborales (o relativas a un contrato de trabajo) en las que sean parte "la Nación, sus reparticiones autárquicas,</w:t>
      </w:r>
      <w:r>
        <w:rPr>
          <w:spacing w:val="-2"/>
        </w:rPr>
        <w:t> </w:t>
      </w:r>
      <w:r>
        <w:rPr/>
        <w:t>la</w:t>
      </w:r>
      <w:r>
        <w:rPr>
          <w:spacing w:val="-2"/>
        </w:rPr>
        <w:t> </w:t>
      </w:r>
      <w:r>
        <w:rPr/>
        <w:t>Municipalidad</w:t>
      </w:r>
      <w:r>
        <w:rPr>
          <w:spacing w:val="-2"/>
        </w:rPr>
        <w:t> </w:t>
      </w:r>
      <w:r>
        <w:rPr/>
        <w:t>de</w:t>
      </w:r>
      <w:r>
        <w:rPr>
          <w:spacing w:val="-2"/>
        </w:rPr>
        <w:t> </w:t>
      </w:r>
      <w:r>
        <w:rPr/>
        <w:t>la</w:t>
      </w:r>
      <w:r>
        <w:rPr>
          <w:spacing w:val="-2"/>
        </w:rPr>
        <w:t> </w:t>
      </w:r>
      <w:r>
        <w:rPr/>
        <w:t>Ciudad</w:t>
      </w:r>
      <w:r>
        <w:rPr>
          <w:spacing w:val="-2"/>
        </w:rPr>
        <w:t> </w:t>
      </w:r>
      <w:r>
        <w:rPr/>
        <w:t>Autónoma</w:t>
      </w:r>
      <w:r>
        <w:rPr>
          <w:spacing w:val="-2"/>
        </w:rPr>
        <w:t> </w:t>
      </w:r>
      <w:r>
        <w:rPr/>
        <w:t>de</w:t>
      </w:r>
      <w:r>
        <w:rPr>
          <w:spacing w:val="-2"/>
        </w:rPr>
        <w:t> </w:t>
      </w:r>
      <w:r>
        <w:rPr/>
        <w:t>Buenos</w:t>
      </w:r>
      <w:r>
        <w:rPr>
          <w:spacing w:val="-2"/>
        </w:rPr>
        <w:t> </w:t>
      </w:r>
      <w:r>
        <w:rPr/>
        <w:t>Aires</w:t>
      </w:r>
      <w:r>
        <w:rPr>
          <w:spacing w:val="-2"/>
        </w:rPr>
        <w:t> </w:t>
      </w:r>
      <w:r>
        <w:rPr/>
        <w:t>y</w:t>
      </w:r>
      <w:r>
        <w:rPr>
          <w:spacing w:val="-2"/>
        </w:rPr>
        <w:t> </w:t>
      </w:r>
      <w:r>
        <w:rPr/>
        <w:t>cualquier</w:t>
      </w:r>
      <w:r>
        <w:rPr>
          <w:spacing w:val="-2"/>
        </w:rPr>
        <w:t> </w:t>
      </w:r>
      <w:r>
        <w:rPr/>
        <w:t>ente</w:t>
      </w:r>
      <w:r>
        <w:rPr>
          <w:spacing w:val="-2"/>
        </w:rPr>
        <w:t> </w:t>
      </w:r>
      <w:r>
        <w:rPr/>
        <w:t>público".</w:t>
      </w:r>
      <w:r>
        <w:rPr>
          <w:spacing w:val="-2"/>
        </w:rPr>
        <w:t> </w:t>
      </w:r>
      <w:r>
        <w:rPr/>
        <w:t>Los</w:t>
      </w:r>
      <w:r>
        <w:rPr>
          <w:spacing w:val="-2"/>
        </w:rPr>
        <w:t> </w:t>
      </w:r>
      <w:r>
        <w:rPr/>
        <w:t>tribunales locales solo tienen aptitud para conocer en causas en que sea parte el Gobierno de la Ciudad (o cualquier otra persona jurídica de índole local), pero no en aquellas en que sea parte el Estado Nacional en sentido amplio (lo que incluye las entidades autárquicas y las empresas o sociedades nacionales), que solo pueden ser resueltas por tribunales nacionales o federales</w:t>
      </w:r>
    </w:p>
    <w:p>
      <w:pPr>
        <w:pStyle w:val="BodyText"/>
        <w:spacing w:line="249" w:lineRule="auto" w:before="86"/>
      </w:pPr>
      <w:r>
        <w:rPr/>
        <w:t>Algo similar ocurre en materia de infracciones laborales. El art. 23 de la ley 18.345 contempla también</w:t>
      </w:r>
      <w:r>
        <w:rPr>
          <w:spacing w:val="40"/>
        </w:rPr>
        <w:t> </w:t>
      </w:r>
      <w:r>
        <w:rPr/>
        <w:t>como un caso especial de competencia, el conocimiento de "los recursos instituidos por las leyes contra resoluciones de la autoridad administrativa que sancionen infracciones a las normas legales o reglamentarias del Derecho del Trabajo". Si se trata de sanciones impuestas por la autoridad administrativa nacional, su </w:t>
      </w:r>
      <w:r>
        <w:rPr/>
        <w:t>revisión solo resultaría constitucionalmente admisible por parte de un tribunal nacional.</w:t>
      </w:r>
    </w:p>
    <w:p>
      <w:pPr>
        <w:pStyle w:val="BodyText"/>
        <w:spacing w:line="249" w:lineRule="auto"/>
      </w:pPr>
      <w:r>
        <w:rPr/>
        <w:t>Lo mismo sucede con las declaraciones de insalubridad. Si bien esta declaración corresponde en primer término a la "Administración Laboral Provincial o de la Ciudad Autónoma de Buenos Aires correspondiente </w:t>
      </w:r>
      <w:r>
        <w:rPr/>
        <w:t>al domicilio del establecimiento laboral", el procedimiento administrativo finaliza con la resolución que dicte el Ministerio de Trabajo, Empleo y Seguridad Social de la Nación —actualmente: Ministerio de Capital</w:t>
      </w:r>
      <w:r>
        <w:rPr>
          <w:spacing w:val="40"/>
        </w:rPr>
        <w:t> </w:t>
      </w:r>
      <w:r>
        <w:rPr/>
        <w:t>Humano— (conf. Res. MTEySS 434/2002). Y "la citada resolución ministerial agotará la vía administrativa, quedando expedita la vía judicial por ante la Cámara Nacional de Apelaciones del Trabajo" (art. 4° de la citada Res. 434/2002). Parece evidente que las resoluciones de esa cartera nacional no podrían válidamente ser revisadas por jueces locales.</w:t>
      </w:r>
    </w:p>
    <w:p>
      <w:pPr>
        <w:pStyle w:val="BodyText"/>
        <w:spacing w:line="249" w:lineRule="auto" w:before="87"/>
      </w:pPr>
      <w:r>
        <w:rPr/>
        <w:t>No se nos escapa que el art. 79 del Proyecto de "Ley de Modernización Laboral" propicia detraer de la competencia de la Justicia Nacional del Trabajo las causas en que sea parte o tercero interesado el Estado Nacional y otros entes públicos nacionales, y asignar esa aptitud jurisdiccional al fuero </w:t>
      </w:r>
      <w:r>
        <w:rPr/>
        <w:t>Contencioso Administrativo Federal. Sin embargo, ello constituye, a nuestro juicio, un grave error, pues atenta con el principio que —para decirlo en palabras de la Corte Suprema de Justicia de la Nación— "aconseja atender a la especialización de los tribunales laborales cuando...no se substrae a la entidad del ámbito de la jurisdicción de los jueces nacionales" (Fallos: 306:948).</w:t>
      </w:r>
    </w:p>
    <w:p>
      <w:pPr>
        <w:pStyle w:val="ListParagraph"/>
        <w:numPr>
          <w:ilvl w:val="0"/>
          <w:numId w:val="1"/>
        </w:numPr>
        <w:tabs>
          <w:tab w:pos="622" w:val="left" w:leader="none"/>
        </w:tabs>
        <w:spacing w:line="240" w:lineRule="auto" w:before="85" w:after="0"/>
        <w:ind w:left="622" w:right="0" w:hanging="299"/>
        <w:jc w:val="both"/>
        <w:rPr>
          <w:sz w:val="20"/>
        </w:rPr>
      </w:pPr>
      <w:r>
        <w:rPr>
          <w:spacing w:val="-2"/>
          <w:sz w:val="20"/>
        </w:rPr>
        <w:t>Conclusiones</w:t>
      </w:r>
    </w:p>
    <w:p>
      <w:pPr>
        <w:pStyle w:val="BodyText"/>
        <w:spacing w:line="249" w:lineRule="auto" w:before="90"/>
      </w:pPr>
      <w:r>
        <w:rPr/>
        <w:t>En conclusión, creemos que la transferencia de competencias a las que aluden el art. 6° de la ley 24.588, </w:t>
      </w:r>
      <w:r>
        <w:rPr/>
        <w:t>el art. 5° de la Res. MJN 179/2025 y el primer párrafo del art. 91 del Proyecto en examen, no impone necesariamente la disolución de la Justicia Nacional del Trabajo, ya que existen competencias que ineludiblemente deberían quedar en cabeza de tribunales de la Nación (como las que hemos visto en materia sindical, infracciones laborales, declaración de insalubridad y juicios contra el Estado Nacional lato sensu) y otras que las autoridades de la Ciudad Autónoma de Buenos Aires han declinado de asumir (como las que</w:t>
      </w:r>
      <w:r>
        <w:rPr>
          <w:spacing w:val="40"/>
        </w:rPr>
        <w:t> </w:t>
      </w:r>
      <w:r>
        <w:rPr/>
        <w:t>atañen a conflictos cuyo único y exclusivo punto de conexión con la Capital Federal sea el domicilio del demandado, o las causas que no versen sobre "conflictos individuales").</w:t>
      </w:r>
    </w:p>
    <w:p>
      <w:pPr>
        <w:pStyle w:val="BodyText"/>
        <w:spacing w:line="249" w:lineRule="auto" w:before="87"/>
      </w:pPr>
      <w:r>
        <w:rPr/>
        <w:t>Si lo que se pretende preservar es (según las palabras de la Corte en "Ferrari c. Levinas") las "facultades de autogobierno" o la "autonomía" de la Ciudad, no puede exigirse a esta última la asunción de competencias </w:t>
      </w:r>
      <w:r>
        <w:rPr/>
        <w:t>que contraríen las limitaciones que se ha autoimpuesto la propia Ciudad.</w:t>
      </w:r>
    </w:p>
    <w:p>
      <w:pPr>
        <w:pStyle w:val="BodyText"/>
        <w:spacing w:line="249" w:lineRule="auto" w:before="83"/>
      </w:pPr>
      <w:r>
        <w:rPr/>
        <w:t>En otras palabras, la transferencia de competencias no excluye, a nuestro parecer, la subsistencia de </w:t>
      </w:r>
      <w:r>
        <w:rPr/>
        <w:t>una Justicia Nacional del Trabajo, a la que se le podría reconocer (como en su momento ocurrió con la ex Justicia Nacional de la Seguridad Social, mediante la ley 24.463 de 1995) el carácter de "Federal", a fin de retener la aptitud jurisdiccional en aquellos asuntos que la Justicia de la Ciudad Autónoma de Buenos Aires no puede (o</w:t>
      </w:r>
      <w:r>
        <w:rPr>
          <w:spacing w:val="40"/>
        </w:rPr>
        <w:t> </w:t>
      </w:r>
      <w:r>
        <w:rPr/>
        <w:t>no ha querido) asumir.</w:t>
      </w:r>
    </w:p>
    <w:p>
      <w:pPr>
        <w:pStyle w:val="ListParagraph"/>
        <w:numPr>
          <w:ilvl w:val="0"/>
          <w:numId w:val="2"/>
        </w:numPr>
        <w:tabs>
          <w:tab w:pos="306" w:val="left" w:leader="none"/>
        </w:tabs>
        <w:spacing w:line="240" w:lineRule="auto" w:before="84" w:after="0"/>
        <w:ind w:left="306" w:right="0" w:hanging="283"/>
        <w:jc w:val="both"/>
        <w:rPr>
          <w:sz w:val="20"/>
        </w:rPr>
      </w:pPr>
      <w:r>
        <w:rPr>
          <w:sz w:val="20"/>
        </w:rPr>
        <w:t>Sentencia del 9/12/2015, "Corrales, Guillermo Gustavo y otro s/ hábeas corpus", Fallos: </w:t>
      </w:r>
      <w:r>
        <w:rPr>
          <w:spacing w:val="-2"/>
          <w:sz w:val="20"/>
        </w:rPr>
        <w:t>338:1517.</w:t>
      </w:r>
    </w:p>
    <w:p>
      <w:pPr>
        <w:pStyle w:val="ListParagraph"/>
        <w:numPr>
          <w:ilvl w:val="0"/>
          <w:numId w:val="2"/>
        </w:numPr>
        <w:tabs>
          <w:tab w:pos="321" w:val="left" w:leader="none"/>
        </w:tabs>
        <w:spacing w:line="249" w:lineRule="auto" w:before="10" w:after="0"/>
        <w:ind w:left="23" w:right="26" w:firstLine="0"/>
        <w:jc w:val="both"/>
        <w:rPr>
          <w:sz w:val="20"/>
        </w:rPr>
      </w:pPr>
      <w:r>
        <w:rPr>
          <w:sz w:val="20"/>
        </w:rPr>
        <w:t>Sentencia del 20/09/2016, "N.N. y otros s/ averiguación de delito - Damnificado: Nisman, Alberto y otros", Fallos: 339:1342.</w:t>
      </w:r>
    </w:p>
    <w:p>
      <w:pPr>
        <w:pStyle w:val="ListParagraph"/>
        <w:spacing w:after="0" w:line="249" w:lineRule="auto"/>
        <w:jc w:val="both"/>
        <w:rPr>
          <w:sz w:val="20"/>
        </w:rPr>
        <w:sectPr>
          <w:pgSz w:w="11900" w:h="16840"/>
          <w:pgMar w:header="464" w:footer="824" w:top="1580" w:bottom="1020" w:left="1417" w:right="1417"/>
        </w:sectPr>
      </w:pPr>
    </w:p>
    <w:p>
      <w:pPr>
        <w:pStyle w:val="ListParagraph"/>
        <w:numPr>
          <w:ilvl w:val="0"/>
          <w:numId w:val="2"/>
        </w:numPr>
        <w:tabs>
          <w:tab w:pos="332" w:val="left" w:leader="none"/>
        </w:tabs>
        <w:spacing w:line="249" w:lineRule="auto" w:before="40" w:after="0"/>
        <w:ind w:left="23" w:right="26" w:firstLine="0"/>
        <w:jc w:val="both"/>
        <w:rPr>
          <w:sz w:val="20"/>
        </w:rPr>
      </w:pPr>
      <w:r>
        <w:rPr>
          <w:sz w:val="20"/>
        </w:rPr>
        <w:t>Sentencia del 12/6/2018, "José Mármol 824 (ocupantes de la finca) s/ incidente de incompetencia", </w:t>
      </w:r>
      <w:r>
        <w:rPr>
          <w:sz w:val="20"/>
        </w:rPr>
        <w:t>Fallos: </w:t>
      </w:r>
      <w:r>
        <w:rPr>
          <w:spacing w:val="-2"/>
          <w:sz w:val="20"/>
        </w:rPr>
        <w:t>341:611.</w:t>
      </w:r>
    </w:p>
    <w:p>
      <w:pPr>
        <w:pStyle w:val="ListParagraph"/>
        <w:numPr>
          <w:ilvl w:val="0"/>
          <w:numId w:val="2"/>
        </w:numPr>
        <w:tabs>
          <w:tab w:pos="336" w:val="left" w:leader="none"/>
        </w:tabs>
        <w:spacing w:line="249" w:lineRule="auto" w:before="1" w:after="0"/>
        <w:ind w:left="23" w:right="26" w:firstLine="0"/>
        <w:jc w:val="both"/>
        <w:rPr>
          <w:sz w:val="20"/>
        </w:rPr>
      </w:pPr>
      <w:r>
        <w:rPr>
          <w:sz w:val="20"/>
        </w:rPr>
        <w:t>Sentencia del 27/12/2024, "Ferrari, María Alicia c. Levinas, Gabriel Isaías s/ incidente de </w:t>
      </w:r>
      <w:r>
        <w:rPr>
          <w:sz w:val="20"/>
        </w:rPr>
        <w:t>incompetencia", Fallos: 347:2286.</w:t>
      </w:r>
    </w:p>
    <w:p>
      <w:pPr>
        <w:pStyle w:val="ListParagraph"/>
        <w:numPr>
          <w:ilvl w:val="0"/>
          <w:numId w:val="2"/>
        </w:numPr>
        <w:tabs>
          <w:tab w:pos="306" w:val="left" w:leader="none"/>
        </w:tabs>
        <w:spacing w:line="240" w:lineRule="auto" w:before="2" w:after="0"/>
        <w:ind w:left="306" w:right="0" w:hanging="283"/>
        <w:jc w:val="both"/>
        <w:rPr>
          <w:sz w:val="20"/>
        </w:rPr>
      </w:pPr>
      <w:r>
        <w:rPr>
          <w:sz w:val="20"/>
        </w:rPr>
        <w:t>Sentencia del 4/04/2019, "Bazán, Fernando s/ amenazas", Fallos: </w:t>
      </w:r>
      <w:r>
        <w:rPr>
          <w:spacing w:val="-2"/>
          <w:sz w:val="20"/>
        </w:rPr>
        <w:t>342:509.</w:t>
      </w:r>
    </w:p>
    <w:p>
      <w:pPr>
        <w:pStyle w:val="ListParagraph"/>
        <w:numPr>
          <w:ilvl w:val="0"/>
          <w:numId w:val="2"/>
        </w:numPr>
        <w:tabs>
          <w:tab w:pos="410" w:val="left" w:leader="none"/>
        </w:tabs>
        <w:spacing w:line="249" w:lineRule="auto" w:before="10" w:after="0"/>
        <w:ind w:left="23" w:right="26" w:firstLine="0"/>
        <w:jc w:val="both"/>
        <w:rPr>
          <w:sz w:val="20"/>
        </w:rPr>
      </w:pPr>
      <w:r>
        <w:rPr>
          <w:sz w:val="20"/>
        </w:rPr>
        <w:t>Como</w:t>
      </w:r>
      <w:r>
        <w:rPr>
          <w:sz w:val="20"/>
        </w:rPr>
        <w:t> ocurrió en materia penal, conforme la detallada reseña efectuada en los Considerandos de </w:t>
      </w:r>
      <w:r>
        <w:rPr>
          <w:sz w:val="20"/>
        </w:rPr>
        <w:t>la </w:t>
      </w:r>
      <w:r>
        <w:rPr>
          <w:spacing w:val="-2"/>
          <w:sz w:val="20"/>
        </w:rPr>
        <w:t>Resolución.</w:t>
      </w:r>
    </w:p>
    <w:p>
      <w:pPr>
        <w:pStyle w:val="ListParagraph"/>
        <w:numPr>
          <w:ilvl w:val="0"/>
          <w:numId w:val="2"/>
        </w:numPr>
        <w:tabs>
          <w:tab w:pos="308" w:val="left" w:leader="none"/>
        </w:tabs>
        <w:spacing w:line="249" w:lineRule="auto" w:before="2" w:after="0"/>
        <w:ind w:left="23" w:right="26" w:firstLine="0"/>
        <w:jc w:val="both"/>
        <w:rPr>
          <w:sz w:val="20"/>
        </w:rPr>
      </w:pPr>
      <w:r>
        <w:rPr>
          <w:sz w:val="20"/>
        </w:rPr>
        <w:t>En</w:t>
      </w:r>
      <w:r>
        <w:rPr>
          <w:spacing w:val="-1"/>
          <w:sz w:val="20"/>
        </w:rPr>
        <w:t> </w:t>
      </w:r>
      <w:r>
        <w:rPr>
          <w:sz w:val="20"/>
        </w:rPr>
        <w:t>materia</w:t>
      </w:r>
      <w:r>
        <w:rPr>
          <w:spacing w:val="-1"/>
          <w:sz w:val="20"/>
        </w:rPr>
        <w:t> </w:t>
      </w:r>
      <w:r>
        <w:rPr>
          <w:sz w:val="20"/>
        </w:rPr>
        <w:t>de</w:t>
      </w:r>
      <w:r>
        <w:rPr>
          <w:spacing w:val="-1"/>
          <w:sz w:val="20"/>
        </w:rPr>
        <w:t> </w:t>
      </w:r>
      <w:r>
        <w:rPr>
          <w:sz w:val="20"/>
        </w:rPr>
        <w:t>riesgos</w:t>
      </w:r>
      <w:r>
        <w:rPr>
          <w:spacing w:val="-1"/>
          <w:sz w:val="20"/>
        </w:rPr>
        <w:t> </w:t>
      </w:r>
      <w:r>
        <w:rPr>
          <w:sz w:val="20"/>
        </w:rPr>
        <w:t>de</w:t>
      </w:r>
      <w:r>
        <w:rPr>
          <w:spacing w:val="-1"/>
          <w:sz w:val="20"/>
        </w:rPr>
        <w:t> </w:t>
      </w:r>
      <w:r>
        <w:rPr>
          <w:sz w:val="20"/>
        </w:rPr>
        <w:t>trabajo,</w:t>
      </w:r>
      <w:r>
        <w:rPr>
          <w:spacing w:val="-1"/>
          <w:sz w:val="20"/>
        </w:rPr>
        <w:t> </w:t>
      </w:r>
      <w:r>
        <w:rPr>
          <w:sz w:val="20"/>
        </w:rPr>
        <w:t>la</w:t>
      </w:r>
      <w:r>
        <w:rPr>
          <w:spacing w:val="-1"/>
          <w:sz w:val="20"/>
        </w:rPr>
        <w:t> </w:t>
      </w:r>
      <w:r>
        <w:rPr>
          <w:sz w:val="20"/>
        </w:rPr>
        <w:t>competencia</w:t>
      </w:r>
      <w:r>
        <w:rPr>
          <w:spacing w:val="-1"/>
          <w:sz w:val="20"/>
        </w:rPr>
        <w:t> </w:t>
      </w:r>
      <w:r>
        <w:rPr>
          <w:sz w:val="20"/>
        </w:rPr>
        <w:t>abarca</w:t>
      </w:r>
      <w:r>
        <w:rPr>
          <w:spacing w:val="-1"/>
          <w:sz w:val="20"/>
        </w:rPr>
        <w:t> </w:t>
      </w:r>
      <w:r>
        <w:rPr>
          <w:sz w:val="20"/>
        </w:rPr>
        <w:t>las</w:t>
      </w:r>
      <w:r>
        <w:rPr>
          <w:spacing w:val="-1"/>
          <w:sz w:val="20"/>
        </w:rPr>
        <w:t> </w:t>
      </w:r>
      <w:r>
        <w:rPr>
          <w:sz w:val="20"/>
        </w:rPr>
        <w:t>causas</w:t>
      </w:r>
      <w:r>
        <w:rPr>
          <w:spacing w:val="-1"/>
          <w:sz w:val="20"/>
        </w:rPr>
        <w:t> </w:t>
      </w:r>
      <w:r>
        <w:rPr>
          <w:sz w:val="20"/>
        </w:rPr>
        <w:t>en</w:t>
      </w:r>
      <w:r>
        <w:rPr>
          <w:spacing w:val="-1"/>
          <w:sz w:val="20"/>
        </w:rPr>
        <w:t> </w:t>
      </w:r>
      <w:r>
        <w:rPr>
          <w:sz w:val="20"/>
        </w:rPr>
        <w:t>las</w:t>
      </w:r>
      <w:r>
        <w:rPr>
          <w:spacing w:val="-1"/>
          <w:sz w:val="20"/>
        </w:rPr>
        <w:t> </w:t>
      </w:r>
      <w:r>
        <w:rPr>
          <w:sz w:val="20"/>
        </w:rPr>
        <w:t>que</w:t>
      </w:r>
      <w:r>
        <w:rPr>
          <w:spacing w:val="-1"/>
          <w:sz w:val="20"/>
        </w:rPr>
        <w:t> </w:t>
      </w:r>
      <w:r>
        <w:rPr>
          <w:sz w:val="20"/>
        </w:rPr>
        <w:t>intervenga</w:t>
      </w:r>
      <w:r>
        <w:rPr>
          <w:spacing w:val="-1"/>
          <w:sz w:val="20"/>
        </w:rPr>
        <w:t> </w:t>
      </w:r>
      <w:r>
        <w:rPr>
          <w:sz w:val="20"/>
        </w:rPr>
        <w:t>la</w:t>
      </w:r>
      <w:r>
        <w:rPr>
          <w:spacing w:val="-1"/>
          <w:sz w:val="20"/>
        </w:rPr>
        <w:t> </w:t>
      </w:r>
      <w:r>
        <w:rPr>
          <w:sz w:val="20"/>
        </w:rPr>
        <w:t>Comisión</w:t>
      </w:r>
      <w:r>
        <w:rPr>
          <w:spacing w:val="-1"/>
          <w:sz w:val="20"/>
        </w:rPr>
        <w:t> </w:t>
      </w:r>
      <w:r>
        <w:rPr>
          <w:sz w:val="20"/>
        </w:rPr>
        <w:t>Médica con sede en la Ciudad de Buenos Aires, conforme la ley 27.348, que a su vez toma como referencia para la competencia el domicilio del trabajador, el lugar de efectiva prestación de servicios o, en su defecto, el</w:t>
      </w:r>
      <w:r>
        <w:rPr>
          <w:spacing w:val="40"/>
          <w:sz w:val="20"/>
        </w:rPr>
        <w:t> </w:t>
      </w:r>
      <w:r>
        <w:rPr>
          <w:sz w:val="20"/>
        </w:rPr>
        <w:t>domicilio donde aquel habitualmente se reporta.</w:t>
      </w:r>
    </w:p>
    <w:p>
      <w:pPr>
        <w:pStyle w:val="ListParagraph"/>
        <w:numPr>
          <w:ilvl w:val="0"/>
          <w:numId w:val="2"/>
        </w:numPr>
        <w:tabs>
          <w:tab w:pos="317" w:val="left" w:leader="none"/>
        </w:tabs>
        <w:spacing w:line="249" w:lineRule="auto" w:before="3" w:after="0"/>
        <w:ind w:left="23" w:right="26" w:firstLine="0"/>
        <w:jc w:val="both"/>
        <w:rPr>
          <w:sz w:val="20"/>
        </w:rPr>
      </w:pPr>
      <w:r>
        <w:rPr>
          <w:sz w:val="20"/>
        </w:rPr>
        <w:t>Este precepto establece que "En las causas entre trabajadores y empleadores será competente, a elección del demandante, el juez del lugar del trabajo, el del lugar de celebración del contrato, o el del domicilio del demandado". Esta norma reviste carácter nacional y no podría ser derogada sin ocasionar graves problemas de competencia en todo el país. En efecto, la Corte Suprema ha dicho que los conflictos entre jueces de </w:t>
      </w:r>
      <w:r>
        <w:rPr>
          <w:sz w:val="20"/>
        </w:rPr>
        <w:t>distinta jurisdicción deben ser resueltos por aplicación de leyes nacionales de procedimientos pues, cuando las partes tienen domicilio en diferentes provincias, no es una regla local la que puede fijar la competencia sino la preceptiva de procedimientos nacional, que es la única que puede legislar teniendo en cuenta la necesidad de coexistencia</w:t>
      </w:r>
      <w:r>
        <w:rPr>
          <w:spacing w:val="-3"/>
          <w:sz w:val="20"/>
        </w:rPr>
        <w:t> </w:t>
      </w:r>
      <w:r>
        <w:rPr>
          <w:sz w:val="20"/>
        </w:rPr>
        <w:t>de</w:t>
      </w:r>
      <w:r>
        <w:rPr>
          <w:spacing w:val="-3"/>
          <w:sz w:val="20"/>
        </w:rPr>
        <w:t> </w:t>
      </w:r>
      <w:r>
        <w:rPr>
          <w:sz w:val="20"/>
        </w:rPr>
        <w:t>las</w:t>
      </w:r>
      <w:r>
        <w:rPr>
          <w:spacing w:val="-3"/>
          <w:sz w:val="20"/>
        </w:rPr>
        <w:t> </w:t>
      </w:r>
      <w:r>
        <w:rPr>
          <w:sz w:val="20"/>
        </w:rPr>
        <w:t>diversas</w:t>
      </w:r>
      <w:r>
        <w:rPr>
          <w:spacing w:val="-3"/>
          <w:sz w:val="20"/>
        </w:rPr>
        <w:t> </w:t>
      </w:r>
      <w:r>
        <w:rPr>
          <w:sz w:val="20"/>
        </w:rPr>
        <w:t>jurisdicciones</w:t>
      </w:r>
      <w:r>
        <w:rPr>
          <w:spacing w:val="-3"/>
          <w:sz w:val="20"/>
        </w:rPr>
        <w:t> </w:t>
      </w:r>
      <w:r>
        <w:rPr>
          <w:sz w:val="20"/>
        </w:rPr>
        <w:t>(v.</w:t>
      </w:r>
      <w:r>
        <w:rPr>
          <w:spacing w:val="-3"/>
          <w:sz w:val="20"/>
        </w:rPr>
        <w:t> </w:t>
      </w:r>
      <w:r>
        <w:rPr>
          <w:sz w:val="20"/>
        </w:rPr>
        <w:t>CSJ</w:t>
      </w:r>
      <w:r>
        <w:rPr>
          <w:spacing w:val="-3"/>
          <w:sz w:val="20"/>
        </w:rPr>
        <w:t> </w:t>
      </w:r>
      <w:r>
        <w:rPr>
          <w:sz w:val="20"/>
        </w:rPr>
        <w:t>4583/2015/CS1</w:t>
      </w:r>
      <w:r>
        <w:rPr>
          <w:spacing w:val="-3"/>
          <w:sz w:val="20"/>
        </w:rPr>
        <w:t> </w:t>
      </w:r>
      <w:r>
        <w:rPr>
          <w:sz w:val="20"/>
        </w:rPr>
        <w:t>"Medina,</w:t>
      </w:r>
      <w:r>
        <w:rPr>
          <w:spacing w:val="-3"/>
          <w:sz w:val="20"/>
        </w:rPr>
        <w:t> </w:t>
      </w:r>
      <w:r>
        <w:rPr>
          <w:sz w:val="20"/>
        </w:rPr>
        <w:t>Silvia</w:t>
      </w:r>
      <w:r>
        <w:rPr>
          <w:spacing w:val="-3"/>
          <w:sz w:val="20"/>
        </w:rPr>
        <w:t> </w:t>
      </w:r>
      <w:r>
        <w:rPr>
          <w:sz w:val="20"/>
        </w:rPr>
        <w:t>E.</w:t>
      </w:r>
      <w:r>
        <w:rPr>
          <w:spacing w:val="-3"/>
          <w:sz w:val="20"/>
        </w:rPr>
        <w:t> </w:t>
      </w:r>
      <w:r>
        <w:rPr>
          <w:sz w:val="20"/>
        </w:rPr>
        <w:t>c.</w:t>
      </w:r>
      <w:r>
        <w:rPr>
          <w:spacing w:val="-3"/>
          <w:sz w:val="20"/>
        </w:rPr>
        <w:t> </w:t>
      </w:r>
      <w:r>
        <w:rPr>
          <w:sz w:val="20"/>
        </w:rPr>
        <w:t>Maternidad</w:t>
      </w:r>
      <w:r>
        <w:rPr>
          <w:spacing w:val="-3"/>
          <w:sz w:val="20"/>
        </w:rPr>
        <w:t> </w:t>
      </w:r>
      <w:r>
        <w:rPr>
          <w:sz w:val="20"/>
        </w:rPr>
        <w:t>Concepción SA y otros s/ despido", del 5 de julio de 2016, y Fallos: 346:625).</w:t>
      </w:r>
    </w:p>
    <w:sectPr>
      <w:pgSz w:w="11900" w:h="16840"/>
      <w:pgMar w:header="464" w:footer="824" w:top="1580" w:bottom="10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pPr>
    <w:r>
      <w:rPr/>
      <mc:AlternateContent>
        <mc:Choice Requires="wps">
          <w:drawing>
            <wp:anchor distT="0" distB="0" distL="0" distR="0" allowOverlap="1" layoutInCell="1" locked="0" behindDoc="1" simplePos="0" relativeHeight="487537664">
              <wp:simplePos x="0" y="0"/>
              <wp:positionH relativeFrom="page">
                <wp:posOffset>917930</wp:posOffset>
              </wp:positionH>
              <wp:positionV relativeFrom="page">
                <wp:posOffset>9997681</wp:posOffset>
              </wp:positionV>
              <wp:extent cx="572071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20715" cy="1270"/>
                      </a:xfrm>
                      <a:custGeom>
                        <a:avLst/>
                        <a:gdLst/>
                        <a:ahLst/>
                        <a:cxnLst/>
                        <a:rect l="l" t="t" r="r" b="b"/>
                        <a:pathLst>
                          <a:path w="5720715" h="0">
                            <a:moveTo>
                              <a:pt x="0" y="0"/>
                            </a:moveTo>
                            <a:lnTo>
                              <a:pt x="5720587" y="0"/>
                            </a:lnTo>
                          </a:path>
                        </a:pathLst>
                      </a:custGeom>
                      <a:ln w="10795">
                        <a:solidFill>
                          <a:srgbClr val="BFBFB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8816" from="72.278pt,787.218994pt" to="522.7180pt,787.218994pt" stroked="true" strokeweight=".85pt" strokecolor="#bfbfbf">
              <v:stroke dashstyle="solid"/>
              <w10:wrap type="none"/>
            </v:line>
          </w:pict>
        </mc:Fallback>
      </mc:AlternateContent>
    </w:r>
    <w:r>
      <w:rPr/>
      <mc:AlternateContent>
        <mc:Choice Requires="wps">
          <w:drawing>
            <wp:anchor distT="0" distB="0" distL="0" distR="0" allowOverlap="1" layoutInCell="1" locked="0" behindDoc="1" simplePos="0" relativeHeight="487538176">
              <wp:simplePos x="0" y="0"/>
              <wp:positionH relativeFrom="page">
                <wp:posOffset>901700</wp:posOffset>
              </wp:positionH>
              <wp:positionV relativeFrom="page">
                <wp:posOffset>10005413</wp:posOffset>
              </wp:positionV>
              <wp:extent cx="177228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2285" cy="139065"/>
                      </a:xfrm>
                      <a:prstGeom prst="rect">
                        <a:avLst/>
                      </a:prstGeom>
                    </wps:spPr>
                    <wps:txbx>
                      <w:txbxContent>
                        <w:p>
                          <w:pPr>
                            <w:spacing w:before="14"/>
                            <w:ind w:left="20" w:right="0" w:firstLine="0"/>
                            <w:jc w:val="left"/>
                            <w:rPr>
                              <w:rFonts w:ascii="Arial MT" w:hAnsi="Arial MT"/>
                              <w:sz w:val="16"/>
                            </w:rPr>
                          </w:pPr>
                          <w:r>
                            <w:rPr>
                              <w:rFonts w:ascii="Arial MT" w:hAnsi="Arial MT"/>
                              <w:color w:val="BCBCBC"/>
                              <w:sz w:val="16"/>
                            </w:rPr>
                            <w:t>© Thomson Reuters Información </w:t>
                          </w:r>
                          <w:r>
                            <w:rPr>
                              <w:rFonts w:ascii="Arial MT" w:hAnsi="Arial MT"/>
                              <w:color w:val="BCBCBC"/>
                              <w:spacing w:val="-2"/>
                              <w:sz w:val="16"/>
                            </w:rPr>
                            <w:t>Legal</w:t>
                          </w:r>
                        </w:p>
                      </w:txbxContent>
                    </wps:txbx>
                    <wps:bodyPr wrap="square" lIns="0" tIns="0" rIns="0" bIns="0" rtlCol="0">
                      <a:noAutofit/>
                    </wps:bodyPr>
                  </wps:wsp>
                </a:graphicData>
              </a:graphic>
            </wp:anchor>
          </w:drawing>
        </mc:Choice>
        <mc:Fallback>
          <w:pict>
            <v:shape style="position:absolute;margin-left:71pt;margin-top:787.82782pt;width:139.550pt;height:10.95pt;mso-position-horizontal-relative:page;mso-position-vertical-relative:page;z-index:-15778304" type="#_x0000_t202" id="docshape2" filled="false" stroked="false">
              <v:textbox inset="0,0,0,0">
                <w:txbxContent>
                  <w:p>
                    <w:pPr>
                      <w:spacing w:before="14"/>
                      <w:ind w:left="20" w:right="0" w:firstLine="0"/>
                      <w:jc w:val="left"/>
                      <w:rPr>
                        <w:rFonts w:ascii="Arial MT" w:hAnsi="Arial MT"/>
                        <w:sz w:val="16"/>
                      </w:rPr>
                    </w:pPr>
                    <w:r>
                      <w:rPr>
                        <w:rFonts w:ascii="Arial MT" w:hAnsi="Arial MT"/>
                        <w:color w:val="BCBCBC"/>
                        <w:sz w:val="16"/>
                      </w:rPr>
                      <w:t>© Thomson Reuters Información </w:t>
                    </w:r>
                    <w:r>
                      <w:rPr>
                        <w:rFonts w:ascii="Arial MT" w:hAnsi="Arial MT"/>
                        <w:color w:val="BCBCBC"/>
                        <w:spacing w:val="-2"/>
                        <w:sz w:val="16"/>
                      </w:rPr>
                      <w:t>Legal</w:t>
                    </w:r>
                  </w:p>
                </w:txbxContent>
              </v:textbox>
              <w10:wrap type="none"/>
            </v:shape>
          </w:pict>
        </mc:Fallback>
      </mc:AlternateContent>
    </w:r>
    <w:r>
      <w:rPr/>
      <mc:AlternateContent>
        <mc:Choice Requires="wps">
          <w:drawing>
            <wp:anchor distT="0" distB="0" distL="0" distR="0" allowOverlap="1" layoutInCell="1" locked="0" behindDoc="1" simplePos="0" relativeHeight="487538688">
              <wp:simplePos x="0" y="0"/>
              <wp:positionH relativeFrom="page">
                <wp:posOffset>6543929</wp:posOffset>
              </wp:positionH>
              <wp:positionV relativeFrom="page">
                <wp:posOffset>10005413</wp:posOffset>
              </wp:positionV>
              <wp:extent cx="145415"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5415" cy="139065"/>
                      </a:xfrm>
                      <a:prstGeom prst="rect">
                        <a:avLst/>
                      </a:prstGeom>
                    </wps:spPr>
                    <wps:txbx>
                      <w:txbxContent>
                        <w:p>
                          <w:pPr>
                            <w:spacing w:before="14"/>
                            <w:ind w:left="60" w:right="0" w:firstLine="0"/>
                            <w:jc w:val="left"/>
                            <w:rPr>
                              <w:rFonts w:ascii="Arial"/>
                              <w:b/>
                              <w:sz w:val="16"/>
                            </w:rPr>
                          </w:pPr>
                          <w:r>
                            <w:rPr>
                              <w:rFonts w:ascii="Arial"/>
                              <w:b/>
                              <w:color w:val="BCBCBC"/>
                              <w:spacing w:val="-10"/>
                              <w:sz w:val="16"/>
                            </w:rPr>
                            <w:fldChar w:fldCharType="begin"/>
                          </w:r>
                          <w:r>
                            <w:rPr>
                              <w:rFonts w:ascii="Arial"/>
                              <w:b/>
                              <w:color w:val="BCBCBC"/>
                              <w:spacing w:val="-10"/>
                              <w:sz w:val="16"/>
                            </w:rPr>
                            <w:instrText> PAGE </w:instrText>
                          </w:r>
                          <w:r>
                            <w:rPr>
                              <w:rFonts w:ascii="Arial"/>
                              <w:b/>
                              <w:color w:val="BCBCBC"/>
                              <w:spacing w:val="-10"/>
                              <w:sz w:val="16"/>
                            </w:rPr>
                            <w:fldChar w:fldCharType="separate"/>
                          </w:r>
                          <w:r>
                            <w:rPr>
                              <w:rFonts w:ascii="Arial"/>
                              <w:b/>
                              <w:color w:val="BCBCBC"/>
                              <w:spacing w:val="-10"/>
                              <w:sz w:val="16"/>
                            </w:rPr>
                            <w:t>1</w:t>
                          </w:r>
                          <w:r>
                            <w:rPr>
                              <w:rFonts w:ascii="Arial"/>
                              <w:b/>
                              <w:color w:val="BCBCBC"/>
                              <w:spacing w:val="-10"/>
                              <w:sz w:val="16"/>
                            </w:rPr>
                            <w:fldChar w:fldCharType="end"/>
                          </w:r>
                        </w:p>
                      </w:txbxContent>
                    </wps:txbx>
                    <wps:bodyPr wrap="square" lIns="0" tIns="0" rIns="0" bIns="0" rtlCol="0">
                      <a:noAutofit/>
                    </wps:bodyPr>
                  </wps:wsp>
                </a:graphicData>
              </a:graphic>
            </wp:anchor>
          </w:drawing>
        </mc:Choice>
        <mc:Fallback>
          <w:pict>
            <v:shape style="position:absolute;margin-left:515.270020pt;margin-top:787.82782pt;width:11.45pt;height:10.95pt;mso-position-horizontal-relative:page;mso-position-vertical-relative:page;z-index:-15777792" type="#_x0000_t202" id="docshape3" filled="false" stroked="false">
              <v:textbox inset="0,0,0,0">
                <w:txbxContent>
                  <w:p>
                    <w:pPr>
                      <w:spacing w:before="14"/>
                      <w:ind w:left="60" w:right="0" w:firstLine="0"/>
                      <w:jc w:val="left"/>
                      <w:rPr>
                        <w:rFonts w:ascii="Arial"/>
                        <w:b/>
                        <w:sz w:val="16"/>
                      </w:rPr>
                    </w:pPr>
                    <w:r>
                      <w:rPr>
                        <w:rFonts w:ascii="Arial"/>
                        <w:b/>
                        <w:color w:val="BCBCBC"/>
                        <w:spacing w:val="-10"/>
                        <w:sz w:val="16"/>
                      </w:rPr>
                      <w:fldChar w:fldCharType="begin"/>
                    </w:r>
                    <w:r>
                      <w:rPr>
                        <w:rFonts w:ascii="Arial"/>
                        <w:b/>
                        <w:color w:val="BCBCBC"/>
                        <w:spacing w:val="-10"/>
                        <w:sz w:val="16"/>
                      </w:rPr>
                      <w:instrText> PAGE </w:instrText>
                    </w:r>
                    <w:r>
                      <w:rPr>
                        <w:rFonts w:ascii="Arial"/>
                        <w:b/>
                        <w:color w:val="BCBCBC"/>
                        <w:spacing w:val="-10"/>
                        <w:sz w:val="16"/>
                      </w:rPr>
                      <w:fldChar w:fldCharType="separate"/>
                    </w:r>
                    <w:r>
                      <w:rPr>
                        <w:rFonts w:ascii="Arial"/>
                        <w:b/>
                        <w:color w:val="BCBCBC"/>
                        <w:spacing w:val="-10"/>
                        <w:sz w:val="16"/>
                      </w:rPr>
                      <w:t>1</w:t>
                    </w:r>
                    <w:r>
                      <w:rPr>
                        <w:rFonts w:ascii="Arial"/>
                        <w:b/>
                        <w:color w:val="BCBCBC"/>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pPr>
    <w:r>
      <w:rPr/>
      <mc:AlternateContent>
        <mc:Choice Requires="wps">
          <w:drawing>
            <wp:anchor distT="0" distB="0" distL="0" distR="0" allowOverlap="1" layoutInCell="1" locked="0" behindDoc="1" simplePos="0" relativeHeight="487536640">
              <wp:simplePos x="0" y="0"/>
              <wp:positionH relativeFrom="page">
                <wp:posOffset>914400</wp:posOffset>
              </wp:positionH>
              <wp:positionV relativeFrom="page">
                <wp:posOffset>453859</wp:posOffset>
              </wp:positionV>
              <wp:extent cx="572452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4525" cy="1270"/>
                      </a:xfrm>
                      <a:custGeom>
                        <a:avLst/>
                        <a:gdLst/>
                        <a:ahLst/>
                        <a:cxnLst/>
                        <a:rect l="l" t="t" r="r" b="b"/>
                        <a:pathLst>
                          <a:path w="5724525" h="0">
                            <a:moveTo>
                              <a:pt x="0" y="0"/>
                            </a:moveTo>
                            <a:lnTo>
                              <a:pt x="5724144" y="0"/>
                            </a:lnTo>
                          </a:path>
                        </a:pathLst>
                      </a:custGeom>
                      <a:ln w="6350">
                        <a:solidFill>
                          <a:srgbClr val="BFBFB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9840" from="72pt,35.737pt" to="522.72pt,35.737pt" stroked="true" strokeweight=".5pt" strokecolor="#bfbfbf">
              <v:stroke dashstyle="solid"/>
              <w10:wrap type="none"/>
            </v:line>
          </w:pict>
        </mc:Fallback>
      </mc:AlternateContent>
    </w:r>
    <w:r>
      <w:rPr/>
      <mc:AlternateContent>
        <mc:Choice Requires="wps">
          <w:drawing>
            <wp:anchor distT="0" distB="0" distL="0" distR="0" allowOverlap="1" layoutInCell="1" locked="0" behindDoc="1" simplePos="0" relativeHeight="487537152">
              <wp:simplePos x="0" y="0"/>
              <wp:positionH relativeFrom="page">
                <wp:posOffset>3504031</wp:posOffset>
              </wp:positionH>
              <wp:positionV relativeFrom="page">
                <wp:posOffset>282204</wp:posOffset>
              </wp:positionV>
              <wp:extent cx="54546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5465" cy="139065"/>
                      </a:xfrm>
                      <a:prstGeom prst="rect">
                        <a:avLst/>
                      </a:prstGeom>
                    </wps:spPr>
                    <wps:txbx>
                      <w:txbxContent>
                        <w:p>
                          <w:pPr>
                            <w:spacing w:before="14"/>
                            <w:ind w:left="20" w:right="0" w:firstLine="0"/>
                            <w:jc w:val="left"/>
                            <w:rPr>
                              <w:rFonts w:ascii="Arial MT"/>
                              <w:sz w:val="16"/>
                            </w:rPr>
                          </w:pPr>
                          <w:r>
                            <w:rPr>
                              <w:rFonts w:ascii="Arial MT"/>
                              <w:color w:val="BFBFBF"/>
                              <w:spacing w:val="-2"/>
                              <w:sz w:val="16"/>
                            </w:rPr>
                            <w:t>Documento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5.90799pt;margin-top:22.220812pt;width:42.95pt;height:10.95pt;mso-position-horizontal-relative:page;mso-position-vertical-relative:page;z-index:-15779328" type="#_x0000_t202" id="docshape1" filled="false" stroked="false">
              <v:textbox inset="0,0,0,0">
                <w:txbxContent>
                  <w:p>
                    <w:pPr>
                      <w:spacing w:before="14"/>
                      <w:ind w:left="20" w:right="0" w:firstLine="0"/>
                      <w:jc w:val="left"/>
                      <w:rPr>
                        <w:rFonts w:ascii="Arial MT"/>
                        <w:sz w:val="16"/>
                      </w:rPr>
                    </w:pPr>
                    <w:r>
                      <w:rPr>
                        <w:rFonts w:ascii="Arial MT"/>
                        <w:color w:val="BFBFBF"/>
                        <w:spacing w:val="-2"/>
                        <w:sz w:val="16"/>
                      </w:rPr>
                      <w:t>Documento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06" w:hanging="284"/>
        <w:jc w:val="left"/>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1176" w:hanging="284"/>
      </w:pPr>
      <w:rPr>
        <w:rFonts w:hint="default"/>
        <w:lang w:val="es-ES" w:eastAsia="en-US" w:bidi="ar-SA"/>
      </w:rPr>
    </w:lvl>
    <w:lvl w:ilvl="2">
      <w:start w:val="0"/>
      <w:numFmt w:val="bullet"/>
      <w:lvlText w:val="•"/>
      <w:lvlJc w:val="left"/>
      <w:pPr>
        <w:ind w:left="2053" w:hanging="284"/>
      </w:pPr>
      <w:rPr>
        <w:rFonts w:hint="default"/>
        <w:lang w:val="es-ES" w:eastAsia="en-US" w:bidi="ar-SA"/>
      </w:rPr>
    </w:lvl>
    <w:lvl w:ilvl="3">
      <w:start w:val="0"/>
      <w:numFmt w:val="bullet"/>
      <w:lvlText w:val="•"/>
      <w:lvlJc w:val="left"/>
      <w:pPr>
        <w:ind w:left="2929" w:hanging="284"/>
      </w:pPr>
      <w:rPr>
        <w:rFonts w:hint="default"/>
        <w:lang w:val="es-ES" w:eastAsia="en-US" w:bidi="ar-SA"/>
      </w:rPr>
    </w:lvl>
    <w:lvl w:ilvl="4">
      <w:start w:val="0"/>
      <w:numFmt w:val="bullet"/>
      <w:lvlText w:val="•"/>
      <w:lvlJc w:val="left"/>
      <w:pPr>
        <w:ind w:left="3806" w:hanging="284"/>
      </w:pPr>
      <w:rPr>
        <w:rFonts w:hint="default"/>
        <w:lang w:val="es-ES" w:eastAsia="en-US" w:bidi="ar-SA"/>
      </w:rPr>
    </w:lvl>
    <w:lvl w:ilvl="5">
      <w:start w:val="0"/>
      <w:numFmt w:val="bullet"/>
      <w:lvlText w:val="•"/>
      <w:lvlJc w:val="left"/>
      <w:pPr>
        <w:ind w:left="4683" w:hanging="284"/>
      </w:pPr>
      <w:rPr>
        <w:rFonts w:hint="default"/>
        <w:lang w:val="es-ES" w:eastAsia="en-US" w:bidi="ar-SA"/>
      </w:rPr>
    </w:lvl>
    <w:lvl w:ilvl="6">
      <w:start w:val="0"/>
      <w:numFmt w:val="bullet"/>
      <w:lvlText w:val="•"/>
      <w:lvlJc w:val="left"/>
      <w:pPr>
        <w:ind w:left="5559" w:hanging="284"/>
      </w:pPr>
      <w:rPr>
        <w:rFonts w:hint="default"/>
        <w:lang w:val="es-ES" w:eastAsia="en-US" w:bidi="ar-SA"/>
      </w:rPr>
    </w:lvl>
    <w:lvl w:ilvl="7">
      <w:start w:val="0"/>
      <w:numFmt w:val="bullet"/>
      <w:lvlText w:val="•"/>
      <w:lvlJc w:val="left"/>
      <w:pPr>
        <w:ind w:left="6436" w:hanging="284"/>
      </w:pPr>
      <w:rPr>
        <w:rFonts w:hint="default"/>
        <w:lang w:val="es-ES" w:eastAsia="en-US" w:bidi="ar-SA"/>
      </w:rPr>
    </w:lvl>
    <w:lvl w:ilvl="8">
      <w:start w:val="0"/>
      <w:numFmt w:val="bullet"/>
      <w:lvlText w:val="•"/>
      <w:lvlJc w:val="left"/>
      <w:pPr>
        <w:ind w:left="7312" w:hanging="284"/>
      </w:pPr>
      <w:rPr>
        <w:rFonts w:hint="default"/>
        <w:lang w:val="es-ES" w:eastAsia="en-US" w:bidi="ar-SA"/>
      </w:rPr>
    </w:lvl>
  </w:abstractNum>
  <w:abstractNum w:abstractNumId="0">
    <w:multiLevelType w:val="hybridMultilevel"/>
    <w:lvl w:ilvl="0">
      <w:start w:val="1"/>
      <w:numFmt w:val="upperRoman"/>
      <w:lvlText w:val="%1."/>
      <w:lvlJc w:val="left"/>
      <w:pPr>
        <w:ind w:left="489" w:hanging="167"/>
        <w:jc w:val="left"/>
      </w:pPr>
      <w:rPr>
        <w:rFonts w:hint="default" w:ascii="Times New Roman" w:hAnsi="Times New Roman" w:eastAsia="Times New Roman" w:cs="Times New Roman"/>
        <w:b w:val="0"/>
        <w:bCs w:val="0"/>
        <w:i w:val="0"/>
        <w:iCs w:val="0"/>
        <w:spacing w:val="0"/>
        <w:w w:val="99"/>
        <w:sz w:val="20"/>
        <w:szCs w:val="20"/>
        <w:lang w:val="es-ES" w:eastAsia="en-US" w:bidi="ar-SA"/>
      </w:rPr>
    </w:lvl>
    <w:lvl w:ilvl="1">
      <w:start w:val="0"/>
      <w:numFmt w:val="bullet"/>
      <w:lvlText w:val="•"/>
      <w:lvlJc w:val="left"/>
      <w:pPr>
        <w:ind w:left="1338" w:hanging="167"/>
      </w:pPr>
      <w:rPr>
        <w:rFonts w:hint="default"/>
        <w:lang w:val="es-ES" w:eastAsia="en-US" w:bidi="ar-SA"/>
      </w:rPr>
    </w:lvl>
    <w:lvl w:ilvl="2">
      <w:start w:val="0"/>
      <w:numFmt w:val="bullet"/>
      <w:lvlText w:val="•"/>
      <w:lvlJc w:val="left"/>
      <w:pPr>
        <w:ind w:left="2197" w:hanging="167"/>
      </w:pPr>
      <w:rPr>
        <w:rFonts w:hint="default"/>
        <w:lang w:val="es-ES" w:eastAsia="en-US" w:bidi="ar-SA"/>
      </w:rPr>
    </w:lvl>
    <w:lvl w:ilvl="3">
      <w:start w:val="0"/>
      <w:numFmt w:val="bullet"/>
      <w:lvlText w:val="•"/>
      <w:lvlJc w:val="left"/>
      <w:pPr>
        <w:ind w:left="3055" w:hanging="167"/>
      </w:pPr>
      <w:rPr>
        <w:rFonts w:hint="default"/>
        <w:lang w:val="es-ES" w:eastAsia="en-US" w:bidi="ar-SA"/>
      </w:rPr>
    </w:lvl>
    <w:lvl w:ilvl="4">
      <w:start w:val="0"/>
      <w:numFmt w:val="bullet"/>
      <w:lvlText w:val="•"/>
      <w:lvlJc w:val="left"/>
      <w:pPr>
        <w:ind w:left="3914" w:hanging="167"/>
      </w:pPr>
      <w:rPr>
        <w:rFonts w:hint="default"/>
        <w:lang w:val="es-ES" w:eastAsia="en-US" w:bidi="ar-SA"/>
      </w:rPr>
    </w:lvl>
    <w:lvl w:ilvl="5">
      <w:start w:val="0"/>
      <w:numFmt w:val="bullet"/>
      <w:lvlText w:val="•"/>
      <w:lvlJc w:val="left"/>
      <w:pPr>
        <w:ind w:left="4773" w:hanging="167"/>
      </w:pPr>
      <w:rPr>
        <w:rFonts w:hint="default"/>
        <w:lang w:val="es-ES" w:eastAsia="en-US" w:bidi="ar-SA"/>
      </w:rPr>
    </w:lvl>
    <w:lvl w:ilvl="6">
      <w:start w:val="0"/>
      <w:numFmt w:val="bullet"/>
      <w:lvlText w:val="•"/>
      <w:lvlJc w:val="left"/>
      <w:pPr>
        <w:ind w:left="5631" w:hanging="167"/>
      </w:pPr>
      <w:rPr>
        <w:rFonts w:hint="default"/>
        <w:lang w:val="es-ES" w:eastAsia="en-US" w:bidi="ar-SA"/>
      </w:rPr>
    </w:lvl>
    <w:lvl w:ilvl="7">
      <w:start w:val="0"/>
      <w:numFmt w:val="bullet"/>
      <w:lvlText w:val="•"/>
      <w:lvlJc w:val="left"/>
      <w:pPr>
        <w:ind w:left="6490" w:hanging="167"/>
      </w:pPr>
      <w:rPr>
        <w:rFonts w:hint="default"/>
        <w:lang w:val="es-ES" w:eastAsia="en-US" w:bidi="ar-SA"/>
      </w:rPr>
    </w:lvl>
    <w:lvl w:ilvl="8">
      <w:start w:val="0"/>
      <w:numFmt w:val="bullet"/>
      <w:lvlText w:val="•"/>
      <w:lvlJc w:val="left"/>
      <w:pPr>
        <w:ind w:left="7348" w:hanging="167"/>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84"/>
      <w:ind w:left="23" w:right="26" w:firstLine="300"/>
      <w:jc w:val="both"/>
    </w:pPr>
    <w:rPr>
      <w:rFonts w:ascii="Times New Roman" w:hAnsi="Times New Roman" w:eastAsia="Times New Roman" w:cs="Times New Roman"/>
      <w:sz w:val="20"/>
      <w:szCs w:val="20"/>
      <w:lang w:val="es-ES" w:eastAsia="en-US" w:bidi="ar-SA"/>
    </w:rPr>
  </w:style>
  <w:style w:styleId="ListParagraph" w:type="paragraph">
    <w:name w:val="List Paragraph"/>
    <w:basedOn w:val="Normal"/>
    <w:uiPriority w:val="1"/>
    <w:qFormat/>
    <w:pPr>
      <w:spacing w:before="2"/>
      <w:ind w:left="23" w:right="26"/>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2026-02-02T13:39:49Z</dcterms:created>
  <dcterms:modified xsi:type="dcterms:W3CDTF">2026-02-02T13:39:49Z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Producer">
    <vt:lpwstr>20260107</vt:lpwstr>
  </property>
  <property fmtid="{D5CDD505-2E9C-101B-9397-08002B2CF9AE}" pid="4" name="LastSaved">
    <vt:filetime>2026-02-02T00:00:00Z</vt:filetime>
  </property>
</Properties>
</file>